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25952" w14:textId="4FD34226" w:rsidR="008F7DD8" w:rsidRPr="00D33FFC" w:rsidRDefault="008F7DD8" w:rsidP="008F7DD8">
      <w:pPr>
        <w:pStyle w:val="Header"/>
        <w:keepLines/>
        <w:tabs>
          <w:tab w:val="right" w:pos="10440"/>
          <w:tab w:val="right" w:pos="13323"/>
        </w:tabs>
        <w:rPr>
          <w:rFonts w:cs="Arial"/>
          <w:b/>
          <w:bCs/>
          <w:sz w:val="24"/>
          <w:szCs w:val="24"/>
          <w:lang w:eastAsia="zh-CN"/>
        </w:rPr>
      </w:pPr>
      <w:bookmarkStart w:id="0" w:name="_Hlk40295327"/>
      <w:bookmarkStart w:id="1" w:name="Title"/>
      <w:bookmarkStart w:id="2" w:name="DocumentFor"/>
      <w:bookmarkStart w:id="3" w:name="OLE_LINK5"/>
      <w:bookmarkStart w:id="4" w:name="OLE_LINK6"/>
      <w:bookmarkEnd w:id="0"/>
      <w:bookmarkEnd w:id="1"/>
      <w:bookmarkEnd w:id="2"/>
      <w:r w:rsidRPr="00D33FFC">
        <w:rPr>
          <w:rFonts w:cs="Arial"/>
          <w:b/>
          <w:bCs/>
          <w:sz w:val="24"/>
          <w:szCs w:val="24"/>
        </w:rPr>
        <w:t>3GPP TSG-RAN WG4 Meeting #</w:t>
      </w:r>
      <w:r w:rsidRPr="00D33FFC">
        <w:rPr>
          <w:b/>
          <w:bCs/>
        </w:rPr>
        <w:t xml:space="preserve"> </w:t>
      </w:r>
      <w:r w:rsidR="00525DF5" w:rsidRPr="00D33FFC">
        <w:rPr>
          <w:rFonts w:cs="Arial"/>
          <w:b/>
          <w:bCs/>
          <w:sz w:val="24"/>
          <w:szCs w:val="24"/>
        </w:rPr>
        <w:t>10</w:t>
      </w:r>
      <w:r w:rsidR="00393B72">
        <w:rPr>
          <w:rFonts w:cs="Arial"/>
          <w:b/>
          <w:bCs/>
          <w:sz w:val="24"/>
          <w:szCs w:val="24"/>
        </w:rPr>
        <w:t>1</w:t>
      </w:r>
      <w:r w:rsidRPr="00D33FFC">
        <w:rPr>
          <w:rFonts w:cs="Arial"/>
          <w:b/>
          <w:bCs/>
          <w:sz w:val="24"/>
          <w:szCs w:val="24"/>
        </w:rPr>
        <w:t xml:space="preserve">-e                  </w:t>
      </w:r>
      <w:r w:rsidRPr="00D33FFC">
        <w:rPr>
          <w:rFonts w:cs="Arial"/>
          <w:b/>
          <w:bCs/>
          <w:sz w:val="24"/>
          <w:szCs w:val="24"/>
        </w:rPr>
        <w:tab/>
      </w:r>
      <w:r w:rsidR="00101044" w:rsidRPr="00101044">
        <w:rPr>
          <w:rFonts w:cs="Arial"/>
          <w:b/>
          <w:bCs/>
          <w:sz w:val="24"/>
          <w:szCs w:val="24"/>
        </w:rPr>
        <w:t>R4-2119012</w:t>
      </w:r>
    </w:p>
    <w:p w14:paraId="20295989" w14:textId="5E86F3FF" w:rsidR="008F7DD8" w:rsidRPr="00D33FFC" w:rsidRDefault="008F7DD8" w:rsidP="008F7DD8">
      <w:pPr>
        <w:pStyle w:val="Header"/>
        <w:tabs>
          <w:tab w:val="right" w:pos="9781"/>
          <w:tab w:val="right" w:pos="13323"/>
        </w:tabs>
        <w:outlineLvl w:val="0"/>
        <w:rPr>
          <w:b/>
          <w:bCs/>
          <w:sz w:val="24"/>
          <w:szCs w:val="24"/>
          <w:lang w:eastAsia="zh-CN"/>
        </w:rPr>
      </w:pPr>
      <w:r w:rsidRPr="00D33FFC">
        <w:rPr>
          <w:b/>
          <w:bCs/>
          <w:sz w:val="24"/>
          <w:szCs w:val="24"/>
          <w:lang w:eastAsia="zh-CN"/>
        </w:rPr>
        <w:t xml:space="preserve">Electronic </w:t>
      </w:r>
      <w:r w:rsidR="009419BD" w:rsidRPr="009419BD">
        <w:rPr>
          <w:b/>
          <w:bCs/>
          <w:sz w:val="24"/>
          <w:szCs w:val="24"/>
          <w:lang w:eastAsia="zh-CN"/>
        </w:rPr>
        <w:t>Meeting, November 01-12, 2021</w:t>
      </w:r>
    </w:p>
    <w:bookmarkEnd w:id="3"/>
    <w:bookmarkEnd w:id="4"/>
    <w:p w14:paraId="6D5C9FD4" w14:textId="77777777" w:rsidR="008F7DD8" w:rsidRPr="00D33FFC" w:rsidRDefault="008F7DD8" w:rsidP="008F7DD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6C77A9" w14:textId="77777777" w:rsidR="008F7DD8" w:rsidRPr="00D33FFC" w:rsidRDefault="008F7DD8" w:rsidP="008F7DD8">
      <w:pPr>
        <w:tabs>
          <w:tab w:val="left" w:pos="1985"/>
        </w:tabs>
        <w:ind w:left="1985" w:hanging="1985"/>
        <w:rPr>
          <w:rFonts w:ascii="Arial" w:eastAsia="Calibri" w:hAnsi="Arial" w:cs="Arial"/>
          <w:b/>
          <w:bCs/>
          <w:sz w:val="24"/>
          <w:lang w:val="en-GB"/>
        </w:rPr>
      </w:pPr>
      <w:r w:rsidRPr="00D33FFC">
        <w:rPr>
          <w:rFonts w:ascii="Arial" w:eastAsia="Calibri" w:hAnsi="Arial" w:cs="Arial"/>
          <w:b/>
          <w:bCs/>
          <w:sz w:val="24"/>
          <w:lang w:val="en-GB"/>
        </w:rPr>
        <w:t>Source:</w:t>
      </w:r>
      <w:r w:rsidRPr="00D33FFC">
        <w:rPr>
          <w:rFonts w:ascii="Arial" w:eastAsia="Calibri" w:hAnsi="Arial" w:cs="Arial"/>
          <w:b/>
          <w:bCs/>
          <w:sz w:val="24"/>
          <w:lang w:val="en-GB"/>
        </w:rPr>
        <w:tab/>
        <w:t>Nokia, Nokia Shanghai Bell</w:t>
      </w:r>
      <w:r w:rsidRPr="00D33FFC" w:rsidDel="00636277">
        <w:rPr>
          <w:rFonts w:ascii="Arial" w:eastAsia="Calibri" w:hAnsi="Arial" w:cs="Arial"/>
          <w:b/>
          <w:bCs/>
          <w:sz w:val="24"/>
          <w:lang w:val="en-GB"/>
        </w:rPr>
        <w:t xml:space="preserve"> </w:t>
      </w:r>
    </w:p>
    <w:p w14:paraId="7D375ABE" w14:textId="5A67ECBA" w:rsidR="008F7DD8" w:rsidRPr="00D33FFC" w:rsidRDefault="008F7DD8" w:rsidP="008F7DD8">
      <w:pPr>
        <w:ind w:left="1985" w:hanging="1985"/>
        <w:rPr>
          <w:rFonts w:ascii="Arial" w:eastAsia="Calibri" w:hAnsi="Arial" w:cs="Arial"/>
          <w:b/>
          <w:bCs/>
          <w:sz w:val="24"/>
        </w:rPr>
      </w:pPr>
      <w:r w:rsidRPr="00D33FFC">
        <w:rPr>
          <w:rFonts w:ascii="Arial" w:eastAsia="Calibri" w:hAnsi="Arial" w:cs="Arial"/>
          <w:b/>
          <w:bCs/>
          <w:sz w:val="24"/>
          <w:lang w:val="en-GB"/>
        </w:rPr>
        <w:t>Title:</w:t>
      </w:r>
      <w:r w:rsidRPr="00D33FFC">
        <w:rPr>
          <w:rFonts w:ascii="Arial" w:eastAsia="Calibri" w:hAnsi="Arial" w:cs="Arial"/>
          <w:b/>
          <w:bCs/>
          <w:sz w:val="24"/>
          <w:lang w:val="en-GB"/>
        </w:rPr>
        <w:tab/>
      </w:r>
      <w:r w:rsidR="00A438AC" w:rsidRPr="00D33FFC">
        <w:rPr>
          <w:rFonts w:ascii="Arial" w:eastAsia="Calibri" w:hAnsi="Arial" w:cs="Arial"/>
          <w:b/>
          <w:bCs/>
          <w:sz w:val="24"/>
          <w:lang w:val="en-GB"/>
        </w:rPr>
        <w:t xml:space="preserve">Discussion on </w:t>
      </w:r>
      <w:r w:rsidR="000759B3">
        <w:rPr>
          <w:rFonts w:ascii="Arial" w:eastAsia="Calibri" w:hAnsi="Arial" w:cs="Arial"/>
          <w:b/>
          <w:bCs/>
          <w:sz w:val="24"/>
          <w:lang w:val="en-GB"/>
        </w:rPr>
        <w:t xml:space="preserve">RRM </w:t>
      </w:r>
      <w:r w:rsidR="009419BD">
        <w:rPr>
          <w:rFonts w:ascii="Arial" w:eastAsia="Calibri" w:hAnsi="Arial" w:cs="Arial"/>
          <w:b/>
          <w:bCs/>
          <w:sz w:val="24"/>
        </w:rPr>
        <w:t>requirements</w:t>
      </w:r>
      <w:r w:rsidR="009419BD" w:rsidRPr="009419BD">
        <w:rPr>
          <w:rFonts w:ascii="Arial" w:eastAsia="Calibri" w:hAnsi="Arial" w:cs="Arial"/>
          <w:b/>
          <w:bCs/>
          <w:sz w:val="24"/>
        </w:rPr>
        <w:t xml:space="preserve"> </w:t>
      </w:r>
      <w:r w:rsidR="009419BD">
        <w:rPr>
          <w:rFonts w:ascii="Arial" w:eastAsia="Calibri" w:hAnsi="Arial" w:cs="Arial"/>
          <w:b/>
          <w:bCs/>
          <w:sz w:val="24"/>
        </w:rPr>
        <w:t>o</w:t>
      </w:r>
      <w:r w:rsidR="000759B3">
        <w:rPr>
          <w:rFonts w:ascii="Arial" w:eastAsia="Calibri" w:hAnsi="Arial" w:cs="Arial"/>
          <w:b/>
          <w:bCs/>
          <w:sz w:val="24"/>
        </w:rPr>
        <w:t xml:space="preserve">n </w:t>
      </w:r>
      <w:r w:rsidR="009419BD" w:rsidRPr="009419BD">
        <w:rPr>
          <w:rFonts w:ascii="Arial" w:eastAsia="Calibri" w:hAnsi="Arial" w:cs="Arial"/>
          <w:b/>
          <w:bCs/>
          <w:sz w:val="24"/>
        </w:rPr>
        <w:t>unified TCI for DL and UL</w:t>
      </w:r>
      <w:r w:rsidR="009419BD">
        <w:rPr>
          <w:rFonts w:ascii="Arial" w:eastAsia="Calibri" w:hAnsi="Arial" w:cs="Arial"/>
          <w:b/>
          <w:bCs/>
          <w:sz w:val="24"/>
        </w:rPr>
        <w:t xml:space="preserve"> </w:t>
      </w:r>
    </w:p>
    <w:p w14:paraId="4FA12EBF" w14:textId="4D5F110D" w:rsidR="008F7DD8" w:rsidRPr="00D33FFC" w:rsidRDefault="008F7DD8" w:rsidP="008F7DD8">
      <w:pPr>
        <w:tabs>
          <w:tab w:val="left" w:pos="1985"/>
        </w:tabs>
        <w:spacing w:after="120" w:line="240" w:lineRule="auto"/>
        <w:rPr>
          <w:rFonts w:ascii="Arial" w:eastAsia="MS Mincho" w:hAnsi="Arial" w:cs="Arial"/>
          <w:b/>
          <w:bCs/>
          <w:sz w:val="24"/>
          <w:szCs w:val="20"/>
          <w:lang w:val="en-GB"/>
        </w:rPr>
      </w:pPr>
      <w:r w:rsidRPr="00D33FFC">
        <w:rPr>
          <w:rFonts w:ascii="Arial" w:eastAsia="MS Mincho" w:hAnsi="Arial" w:cs="Arial"/>
          <w:b/>
          <w:bCs/>
          <w:sz w:val="24"/>
          <w:szCs w:val="20"/>
          <w:lang w:val="en-GB"/>
        </w:rPr>
        <w:t>Agenda item:</w:t>
      </w:r>
      <w:r w:rsidRPr="00D33FFC">
        <w:rPr>
          <w:rFonts w:ascii="Arial" w:eastAsia="MS Mincho" w:hAnsi="Arial" w:cs="Arial"/>
          <w:b/>
          <w:bCs/>
          <w:sz w:val="24"/>
          <w:szCs w:val="20"/>
          <w:lang w:val="en-GB"/>
        </w:rPr>
        <w:tab/>
      </w:r>
      <w:r w:rsidR="00F70119">
        <w:rPr>
          <w:rFonts w:ascii="Arial" w:eastAsia="MS Mincho" w:hAnsi="Arial" w:cs="Arial"/>
          <w:b/>
          <w:bCs/>
          <w:sz w:val="24"/>
          <w:szCs w:val="20"/>
          <w:lang w:val="en-GB"/>
        </w:rPr>
        <w:t>8</w:t>
      </w:r>
      <w:r w:rsidR="005713ED" w:rsidRPr="00D33FFC">
        <w:rPr>
          <w:rFonts w:ascii="Arial" w:eastAsia="MS Mincho" w:hAnsi="Arial" w:cs="Arial"/>
          <w:b/>
          <w:bCs/>
          <w:sz w:val="24"/>
          <w:szCs w:val="20"/>
          <w:lang w:val="en-GB"/>
        </w:rPr>
        <w:t>.19.3.</w:t>
      </w:r>
      <w:r w:rsidR="002B5153" w:rsidRPr="00D33FFC">
        <w:rPr>
          <w:rFonts w:ascii="Arial" w:eastAsia="MS Mincho" w:hAnsi="Arial" w:cs="Arial"/>
          <w:b/>
          <w:bCs/>
          <w:sz w:val="24"/>
          <w:szCs w:val="20"/>
          <w:lang w:val="en-GB"/>
        </w:rPr>
        <w:t>1</w:t>
      </w:r>
      <w:r w:rsidR="009419BD">
        <w:rPr>
          <w:rFonts w:ascii="Arial" w:eastAsia="MS Mincho" w:hAnsi="Arial" w:cs="Arial"/>
          <w:b/>
          <w:bCs/>
          <w:sz w:val="24"/>
          <w:szCs w:val="20"/>
          <w:lang w:val="en-GB"/>
        </w:rPr>
        <w:tab/>
      </w:r>
    </w:p>
    <w:p w14:paraId="758B3BD0" w14:textId="5CCA0EC3" w:rsidR="008F7DD8" w:rsidRPr="00D33FFC" w:rsidRDefault="008F7DD8" w:rsidP="008F7DD8">
      <w:pPr>
        <w:tabs>
          <w:tab w:val="left" w:pos="1985"/>
        </w:tabs>
        <w:rPr>
          <w:rFonts w:ascii="Arial" w:eastAsia="Calibri" w:hAnsi="Arial" w:cs="Arial"/>
          <w:b/>
          <w:bCs/>
          <w:sz w:val="24"/>
          <w:lang w:val="en-GB"/>
        </w:rPr>
      </w:pPr>
      <w:r w:rsidRPr="00D33FFC">
        <w:rPr>
          <w:rFonts w:ascii="Arial" w:eastAsia="Calibri" w:hAnsi="Arial" w:cs="Arial"/>
          <w:b/>
          <w:bCs/>
          <w:sz w:val="24"/>
          <w:lang w:val="en-GB"/>
        </w:rPr>
        <w:t>Document for:</w:t>
      </w:r>
      <w:r w:rsidRPr="00D33FFC">
        <w:rPr>
          <w:rFonts w:ascii="Arial" w:eastAsia="Calibri" w:hAnsi="Arial" w:cs="Arial"/>
          <w:b/>
          <w:bCs/>
          <w:sz w:val="24"/>
          <w:lang w:val="en-GB"/>
        </w:rPr>
        <w:tab/>
      </w:r>
      <w:r w:rsidR="00A438AC" w:rsidRPr="00D33FFC">
        <w:rPr>
          <w:rFonts w:ascii="Arial" w:eastAsia="Calibri" w:hAnsi="Arial" w:cs="Arial"/>
          <w:b/>
          <w:bCs/>
          <w:sz w:val="24"/>
          <w:lang w:val="en-GB"/>
        </w:rPr>
        <w:t>Discussion</w:t>
      </w:r>
    </w:p>
    <w:p w14:paraId="79828003" w14:textId="77777777" w:rsidR="008F7DD8" w:rsidRPr="00D33FFC" w:rsidRDefault="008F7DD8" w:rsidP="008F7DD8">
      <w:pPr>
        <w:pStyle w:val="RAN4H1"/>
      </w:pPr>
      <w:r w:rsidRPr="00D33FFC">
        <w:t>Intro</w:t>
      </w:r>
      <w:r w:rsidRPr="00D33FFC">
        <w:rPr>
          <w:rStyle w:val="RAN4H1Char"/>
        </w:rPr>
        <w:t>ductio</w:t>
      </w:r>
      <w:r w:rsidRPr="00D33FFC">
        <w:t>n</w:t>
      </w:r>
    </w:p>
    <w:p w14:paraId="794D3251" w14:textId="04B64BF3" w:rsidR="00411180" w:rsidRPr="00D33FFC" w:rsidRDefault="008F7DD8" w:rsidP="00411180">
      <w:pPr>
        <w:rPr>
          <w:lang w:val="en-GB"/>
        </w:rPr>
      </w:pPr>
      <w:r w:rsidRPr="00D33FFC">
        <w:rPr>
          <w:rFonts w:eastAsia="Calibri" w:cs="Times New Roman"/>
          <w:szCs w:val="20"/>
        </w:rPr>
        <w:t xml:space="preserve">RAN4 </w:t>
      </w:r>
      <w:r w:rsidR="008D3B00" w:rsidRPr="00D33FFC">
        <w:rPr>
          <w:rFonts w:eastAsia="Calibri" w:cs="Times New Roman"/>
          <w:szCs w:val="20"/>
        </w:rPr>
        <w:t>start</w:t>
      </w:r>
      <w:r w:rsidR="00411180">
        <w:rPr>
          <w:rFonts w:eastAsia="Calibri" w:cs="Times New Roman"/>
          <w:szCs w:val="20"/>
        </w:rPr>
        <w:t>ed</w:t>
      </w:r>
      <w:r w:rsidR="008D3B00" w:rsidRPr="00D33FFC">
        <w:rPr>
          <w:rFonts w:eastAsia="Calibri" w:cs="Times New Roman"/>
          <w:szCs w:val="20"/>
        </w:rPr>
        <w:t xml:space="preserve"> Rel-17 </w:t>
      </w:r>
      <w:proofErr w:type="spellStart"/>
      <w:r w:rsidR="008D3B00" w:rsidRPr="00D33FFC">
        <w:rPr>
          <w:rFonts w:eastAsia="Calibri" w:cs="Times New Roman"/>
          <w:szCs w:val="20"/>
        </w:rPr>
        <w:t>feMIMO</w:t>
      </w:r>
      <w:proofErr w:type="spellEnd"/>
      <w:r w:rsidR="008D3B00" w:rsidRPr="00D33FFC">
        <w:rPr>
          <w:rFonts w:eastAsia="Calibri" w:cs="Times New Roman"/>
          <w:szCs w:val="20"/>
        </w:rPr>
        <w:t xml:space="preserve"> WI</w:t>
      </w:r>
      <w:r w:rsidRPr="00D33FFC">
        <w:rPr>
          <w:rFonts w:eastAsia="Calibri" w:cs="Times New Roman"/>
          <w:szCs w:val="20"/>
        </w:rPr>
        <w:t xml:space="preserve"> discussion identifying RRM core requirements</w:t>
      </w:r>
      <w:r w:rsidR="00122311" w:rsidRPr="00D33FFC">
        <w:rPr>
          <w:rFonts w:eastAsia="Calibri" w:cs="Times New Roman"/>
          <w:szCs w:val="20"/>
        </w:rPr>
        <w:t xml:space="preserve"> </w:t>
      </w:r>
      <w:r w:rsidRPr="00D33FFC">
        <w:rPr>
          <w:rFonts w:eastAsia="Calibri" w:cs="Times New Roman"/>
          <w:szCs w:val="20"/>
        </w:rPr>
        <w:t xml:space="preserve">to be specified </w:t>
      </w:r>
      <w:r w:rsidR="00411180">
        <w:rPr>
          <w:rFonts w:eastAsia="Calibri" w:cs="Times New Roman"/>
          <w:szCs w:val="20"/>
        </w:rPr>
        <w:t xml:space="preserve">RRM </w:t>
      </w:r>
      <w:r w:rsidRPr="00D33FFC">
        <w:rPr>
          <w:rFonts w:eastAsia="Calibri" w:cs="Times New Roman"/>
          <w:szCs w:val="20"/>
        </w:rPr>
        <w:t>requirements</w:t>
      </w:r>
      <w:r w:rsidR="00122311" w:rsidRPr="00D33FFC">
        <w:rPr>
          <w:rFonts w:eastAsia="Calibri" w:cs="Times New Roman"/>
          <w:szCs w:val="20"/>
          <w:lang w:val="en-GB"/>
        </w:rPr>
        <w:t xml:space="preserve">. </w:t>
      </w:r>
      <w:r w:rsidR="00525DF5" w:rsidRPr="00D33FFC">
        <w:rPr>
          <w:rFonts w:eastAsia="Calibri" w:cs="Times New Roman"/>
          <w:szCs w:val="20"/>
          <w:lang w:val="en-GB"/>
        </w:rPr>
        <w:t>In RAN4 #</w:t>
      </w:r>
      <w:r w:rsidR="00AA49C8">
        <w:rPr>
          <w:rFonts w:eastAsia="Calibri" w:cs="Times New Roman"/>
          <w:szCs w:val="20"/>
          <w:lang w:val="en-GB"/>
        </w:rPr>
        <w:t>100</w:t>
      </w:r>
      <w:r w:rsidR="00525DF5" w:rsidRPr="00D33FFC">
        <w:rPr>
          <w:rFonts w:eastAsia="Calibri" w:cs="Times New Roman"/>
          <w:szCs w:val="20"/>
          <w:lang w:val="en-GB"/>
        </w:rPr>
        <w:t xml:space="preserve">e meeting, companies provide the </w:t>
      </w:r>
      <w:r w:rsidR="00411180">
        <w:rPr>
          <w:rFonts w:eastAsia="Calibri" w:cs="Times New Roman"/>
          <w:szCs w:val="20"/>
          <w:lang w:val="en-GB"/>
        </w:rPr>
        <w:t>first view on</w:t>
      </w:r>
      <w:r w:rsidR="00525DF5" w:rsidRPr="00D33FFC">
        <w:rPr>
          <w:rFonts w:eastAsia="Calibri" w:cs="Times New Roman"/>
          <w:szCs w:val="20"/>
          <w:lang w:val="en-GB"/>
        </w:rPr>
        <w:t xml:space="preserve"> overall RRM impact for </w:t>
      </w:r>
      <w:proofErr w:type="spellStart"/>
      <w:r w:rsidR="00525DF5" w:rsidRPr="00D33FFC">
        <w:rPr>
          <w:rFonts w:eastAsia="Calibri" w:cs="Times New Roman"/>
          <w:szCs w:val="20"/>
          <w:lang w:val="en-GB"/>
        </w:rPr>
        <w:t>feMIMO</w:t>
      </w:r>
      <w:proofErr w:type="spellEnd"/>
      <w:r w:rsidR="00411180">
        <w:rPr>
          <w:rFonts w:eastAsia="Calibri" w:cs="Times New Roman"/>
          <w:szCs w:val="20"/>
          <w:lang w:val="en-GB"/>
        </w:rPr>
        <w:t xml:space="preserve">. </w:t>
      </w:r>
      <w:r w:rsidR="0028194F">
        <w:rPr>
          <w:rFonts w:eastAsia="Calibri" w:cs="Times New Roman"/>
          <w:szCs w:val="20"/>
          <w:lang w:val="en-GB"/>
        </w:rPr>
        <w:t xml:space="preserve"> </w:t>
      </w:r>
      <w:r w:rsidR="00411180">
        <w:rPr>
          <w:rFonts w:eastAsia="Calibri" w:cs="Times New Roman"/>
          <w:szCs w:val="20"/>
          <w:lang w:val="en-GB"/>
        </w:rPr>
        <w:t xml:space="preserve">The </w:t>
      </w:r>
      <w:r w:rsidR="0028194F">
        <w:rPr>
          <w:rFonts w:eastAsia="Calibri" w:cs="Times New Roman"/>
          <w:szCs w:val="20"/>
          <w:lang w:val="en-GB"/>
        </w:rPr>
        <w:t>WF [2]</w:t>
      </w:r>
      <w:r w:rsidR="00411180">
        <w:rPr>
          <w:rFonts w:eastAsia="Calibri" w:cs="Times New Roman"/>
          <w:szCs w:val="20"/>
          <w:lang w:val="en-GB"/>
        </w:rPr>
        <w:t xml:space="preserve"> from RAN4#100e captured o</w:t>
      </w:r>
      <w:r w:rsidR="00AA49C8">
        <w:rPr>
          <w:rFonts w:eastAsia="Calibri" w:cs="Times New Roman"/>
          <w:szCs w:val="20"/>
          <w:lang w:val="en-GB"/>
        </w:rPr>
        <w:t>ne RRM impact on TCI switching.</w:t>
      </w:r>
      <w:r w:rsidR="00411180">
        <w:rPr>
          <w:rFonts w:eastAsia="Calibri" w:cs="Times New Roman"/>
          <w:szCs w:val="20"/>
          <w:lang w:val="en-GB"/>
        </w:rPr>
        <w:t xml:space="preserve"> </w:t>
      </w:r>
      <w:r w:rsidR="00411180" w:rsidRPr="00D33FFC">
        <w:rPr>
          <w:lang w:val="en-GB"/>
        </w:rPr>
        <w:t>From the WF agreements, we provide our view and propose discussion points.</w:t>
      </w:r>
    </w:p>
    <w:tbl>
      <w:tblPr>
        <w:tblStyle w:val="TableGrid"/>
        <w:tblW w:w="0" w:type="auto"/>
        <w:tblLook w:val="04A0" w:firstRow="1" w:lastRow="0" w:firstColumn="1" w:lastColumn="0" w:noHBand="0" w:noVBand="1"/>
      </w:tblPr>
      <w:tblGrid>
        <w:gridCol w:w="9062"/>
      </w:tblGrid>
      <w:tr w:rsidR="00AA49C8" w14:paraId="3615C58E" w14:textId="77777777" w:rsidTr="00AA49C8">
        <w:tc>
          <w:tcPr>
            <w:tcW w:w="9062" w:type="dxa"/>
          </w:tcPr>
          <w:p w14:paraId="4459DDA0" w14:textId="08AE2D7D" w:rsidR="00AA49C8" w:rsidRDefault="00AA49C8" w:rsidP="00AA49C8">
            <w:pPr>
              <w:rPr>
                <w:rFonts w:eastAsiaTheme="minorEastAsia"/>
                <w:b/>
                <w:u w:val="single"/>
                <w:lang w:val="sv-SE" w:eastAsia="zh-CN"/>
              </w:rPr>
            </w:pPr>
            <w:r w:rsidRPr="00AA49C8">
              <w:rPr>
                <w:rFonts w:eastAsiaTheme="minorEastAsia"/>
                <w:b/>
                <w:highlight w:val="green"/>
                <w:u w:val="single"/>
                <w:lang w:val="sv-SE" w:eastAsia="zh-CN"/>
              </w:rPr>
              <w:t>RAN4#100 WF</w:t>
            </w:r>
          </w:p>
          <w:p w14:paraId="2BE3E625" w14:textId="01B97F6B" w:rsidR="00AA49C8" w:rsidRPr="003F524C" w:rsidRDefault="00AA49C8" w:rsidP="00AA49C8">
            <w:pPr>
              <w:rPr>
                <w:rFonts w:eastAsiaTheme="minorEastAsia"/>
                <w:b/>
                <w:u w:val="single"/>
                <w:lang w:val="sv-SE" w:eastAsia="zh-CN"/>
              </w:rPr>
            </w:pPr>
            <w:proofErr w:type="spellStart"/>
            <w:r w:rsidRPr="003F524C">
              <w:rPr>
                <w:rFonts w:eastAsiaTheme="minorEastAsia" w:hint="eastAsia"/>
                <w:b/>
                <w:u w:val="single"/>
                <w:lang w:val="sv-SE" w:eastAsia="zh-CN"/>
              </w:rPr>
              <w:t>U</w:t>
            </w:r>
            <w:r w:rsidRPr="003F524C">
              <w:rPr>
                <w:rFonts w:eastAsiaTheme="minorEastAsia"/>
                <w:b/>
                <w:u w:val="single"/>
                <w:lang w:val="sv-SE" w:eastAsia="zh-CN"/>
              </w:rPr>
              <w:t>nified</w:t>
            </w:r>
            <w:proofErr w:type="spellEnd"/>
            <w:r w:rsidRPr="003F524C">
              <w:rPr>
                <w:rFonts w:eastAsiaTheme="minorEastAsia"/>
                <w:b/>
                <w:u w:val="single"/>
                <w:lang w:val="sv-SE" w:eastAsia="zh-CN"/>
              </w:rPr>
              <w:t xml:space="preserve"> TCI </w:t>
            </w:r>
          </w:p>
          <w:p w14:paraId="6100D5C2" w14:textId="77777777" w:rsidR="00AA49C8" w:rsidRPr="003F524C" w:rsidRDefault="00AA49C8" w:rsidP="00AA49C8">
            <w:pPr>
              <w:pStyle w:val="ListParagraph"/>
              <w:numPr>
                <w:ilvl w:val="0"/>
                <w:numId w:val="29"/>
              </w:numPr>
              <w:spacing w:after="120" w:line="252" w:lineRule="auto"/>
              <w:contextualSpacing w:val="0"/>
              <w:rPr>
                <w:bCs/>
              </w:rPr>
            </w:pPr>
            <w:r w:rsidRPr="003F524C">
              <w:rPr>
                <w:rFonts w:eastAsia="Calibri"/>
              </w:rPr>
              <w:t xml:space="preserve">Specify TCI switching delay requirements for </w:t>
            </w:r>
          </w:p>
          <w:p w14:paraId="781555C8" w14:textId="77777777" w:rsidR="00AA49C8" w:rsidRPr="003F524C" w:rsidRDefault="00AA49C8" w:rsidP="00AA49C8">
            <w:pPr>
              <w:pStyle w:val="ListParagraph"/>
              <w:numPr>
                <w:ilvl w:val="1"/>
                <w:numId w:val="29"/>
              </w:numPr>
              <w:spacing w:after="120" w:line="252" w:lineRule="auto"/>
              <w:contextualSpacing w:val="0"/>
              <w:rPr>
                <w:bCs/>
              </w:rPr>
            </w:pPr>
            <w:r w:rsidRPr="003F524C">
              <w:rPr>
                <w:rFonts w:eastAsia="Calibri"/>
              </w:rPr>
              <w:t xml:space="preserve">Joint TCI with UL and DL </w:t>
            </w:r>
          </w:p>
          <w:p w14:paraId="6588BF7B" w14:textId="77777777" w:rsidR="00AA49C8" w:rsidRPr="003F524C" w:rsidRDefault="00AA49C8" w:rsidP="00AA49C8">
            <w:pPr>
              <w:pStyle w:val="ListParagraph"/>
              <w:numPr>
                <w:ilvl w:val="1"/>
                <w:numId w:val="29"/>
              </w:numPr>
              <w:spacing w:after="120" w:line="252" w:lineRule="auto"/>
              <w:contextualSpacing w:val="0"/>
              <w:rPr>
                <w:bCs/>
              </w:rPr>
            </w:pPr>
            <w:r w:rsidRPr="003F524C">
              <w:rPr>
                <w:rFonts w:eastAsia="Calibri"/>
              </w:rPr>
              <w:t>Separate TCI for UL</w:t>
            </w:r>
          </w:p>
          <w:p w14:paraId="4A26CC31" w14:textId="77777777" w:rsidR="00AA49C8" w:rsidRPr="003F524C" w:rsidRDefault="00AA49C8" w:rsidP="00AA49C8">
            <w:pPr>
              <w:pStyle w:val="ListParagraph"/>
              <w:numPr>
                <w:ilvl w:val="1"/>
                <w:numId w:val="29"/>
              </w:numPr>
              <w:spacing w:after="120" w:line="252" w:lineRule="auto"/>
              <w:contextualSpacing w:val="0"/>
              <w:rPr>
                <w:bCs/>
              </w:rPr>
            </w:pPr>
            <w:r w:rsidRPr="003F524C">
              <w:rPr>
                <w:rFonts w:eastAsia="Calibri"/>
              </w:rPr>
              <w:t>FFS: TCI for DL</w:t>
            </w:r>
          </w:p>
          <w:p w14:paraId="4D744CF7" w14:textId="77777777" w:rsidR="00AA49C8" w:rsidRPr="003F524C" w:rsidRDefault="00AA49C8" w:rsidP="00AA49C8">
            <w:pPr>
              <w:pStyle w:val="ListParagraph"/>
              <w:numPr>
                <w:ilvl w:val="0"/>
                <w:numId w:val="29"/>
              </w:numPr>
              <w:spacing w:after="120" w:line="252" w:lineRule="auto"/>
              <w:contextualSpacing w:val="0"/>
              <w:rPr>
                <w:rFonts w:eastAsia="Calibri"/>
              </w:rPr>
            </w:pPr>
            <w:r w:rsidRPr="003F524C">
              <w:rPr>
                <w:rFonts w:eastAsia="Calibri" w:hint="eastAsia"/>
              </w:rPr>
              <w:t>S</w:t>
            </w:r>
            <w:r w:rsidRPr="003F524C">
              <w:rPr>
                <w:rFonts w:eastAsia="Calibri"/>
              </w:rPr>
              <w:t>pecify the requirements for PL-RS update under unified TCI framework</w:t>
            </w:r>
          </w:p>
          <w:p w14:paraId="0594BCA5" w14:textId="77777777" w:rsidR="00AA49C8" w:rsidRPr="00AA49C8" w:rsidRDefault="00AA49C8" w:rsidP="00525DF5">
            <w:pPr>
              <w:rPr>
                <w:rFonts w:eastAsia="Calibri" w:cs="Times New Roman"/>
                <w:szCs w:val="20"/>
              </w:rPr>
            </w:pPr>
          </w:p>
        </w:tc>
      </w:tr>
    </w:tbl>
    <w:p w14:paraId="55B8B998" w14:textId="77777777" w:rsidR="00AA49C8" w:rsidRPr="00D33FFC" w:rsidRDefault="00AA49C8" w:rsidP="00525DF5">
      <w:pPr>
        <w:rPr>
          <w:rFonts w:eastAsia="Calibri" w:cs="Times New Roman"/>
          <w:szCs w:val="20"/>
          <w:lang w:val="en-GB"/>
        </w:rPr>
      </w:pPr>
    </w:p>
    <w:p w14:paraId="098E6CBD" w14:textId="09DB85EF" w:rsidR="00EE642A" w:rsidRPr="00D23483" w:rsidRDefault="008F7DD8" w:rsidP="00D23483">
      <w:pPr>
        <w:pStyle w:val="RAN4H1"/>
        <w:rPr>
          <w:rFonts w:ascii="Times New Roman" w:eastAsiaTheme="minorHAnsi" w:hAnsi="Times New Roman" w:cstheme="minorBidi"/>
          <w:sz w:val="20"/>
          <w:szCs w:val="22"/>
          <w:lang w:val="en-US"/>
        </w:rPr>
      </w:pPr>
      <w:r w:rsidRPr="00D33FFC">
        <w:t>Discussion</w:t>
      </w:r>
    </w:p>
    <w:p w14:paraId="31D717C9" w14:textId="77777777" w:rsidR="00AE5778" w:rsidRPr="00D33FFC" w:rsidRDefault="00AE5778" w:rsidP="008F7DD8">
      <w:pPr>
        <w:rPr>
          <w:lang w:val="en-GB"/>
        </w:rPr>
      </w:pPr>
    </w:p>
    <w:p w14:paraId="16ECE525" w14:textId="3803429E" w:rsidR="008F7DD8" w:rsidRPr="00D33FFC" w:rsidRDefault="00D21C42" w:rsidP="001B37FF">
      <w:pPr>
        <w:pStyle w:val="RAN4H2"/>
        <w:rPr>
          <w:lang w:val="en-GB"/>
        </w:rPr>
      </w:pPr>
      <w:r w:rsidRPr="00D33FFC">
        <w:rPr>
          <w:color w:val="auto"/>
        </w:rPr>
        <w:t>Features</w:t>
      </w:r>
      <w:r w:rsidR="00DA5358" w:rsidRPr="00D33FFC">
        <w:rPr>
          <w:color w:val="auto"/>
        </w:rPr>
        <w:t xml:space="preserve"> </w:t>
      </w:r>
      <w:r w:rsidR="005D3F6A" w:rsidRPr="00D33FFC">
        <w:rPr>
          <w:color w:val="auto"/>
        </w:rPr>
        <w:t>of</w:t>
      </w:r>
      <w:r w:rsidR="001B37FF" w:rsidRPr="00D33FFC">
        <w:t xml:space="preserve"> </w:t>
      </w:r>
      <w:r w:rsidR="001B37FF" w:rsidRPr="00D33FFC">
        <w:rPr>
          <w:color w:val="auto"/>
        </w:rPr>
        <w:t xml:space="preserve">Rel-17 Unified TCI </w:t>
      </w:r>
      <w:r w:rsidRPr="00D33FFC">
        <w:rPr>
          <w:color w:val="auto"/>
        </w:rPr>
        <w:t>Framework</w:t>
      </w:r>
    </w:p>
    <w:p w14:paraId="7A24CA33" w14:textId="77777777" w:rsidR="00F30E51" w:rsidRDefault="00F30E51" w:rsidP="003A3C8A">
      <w:pPr>
        <w:ind w:right="-22"/>
        <w:rPr>
          <w:rStyle w:val="normaltextrun"/>
          <w:sz w:val="19"/>
          <w:szCs w:val="19"/>
          <w:lang w:val="en-GB"/>
        </w:rPr>
      </w:pPr>
    </w:p>
    <w:p w14:paraId="3C5C4B7C" w14:textId="04277E4C" w:rsidR="003A3C8A" w:rsidRPr="00D33FFC" w:rsidRDefault="003A3C8A" w:rsidP="003A3C8A">
      <w:pPr>
        <w:ind w:right="-22"/>
        <w:rPr>
          <w:rStyle w:val="normaltextrun"/>
          <w:sz w:val="19"/>
          <w:szCs w:val="19"/>
          <w:lang w:val="en-GB"/>
        </w:rPr>
      </w:pPr>
      <w:r w:rsidRPr="00D33FFC">
        <w:rPr>
          <w:rStyle w:val="normaltextrun"/>
          <w:sz w:val="19"/>
          <w:szCs w:val="19"/>
          <w:lang w:val="en-GB"/>
        </w:rPr>
        <w:t xml:space="preserve">RAN1 </w:t>
      </w:r>
      <w:r w:rsidR="008E7CBA">
        <w:rPr>
          <w:rStyle w:val="normaltextrun"/>
          <w:sz w:val="19"/>
          <w:szCs w:val="19"/>
          <w:lang w:val="en-GB"/>
        </w:rPr>
        <w:t>has introduced unified TCI</w:t>
      </w:r>
      <w:r w:rsidRPr="00D33FFC">
        <w:rPr>
          <w:rStyle w:val="normaltextrun"/>
          <w:sz w:val="19"/>
          <w:szCs w:val="19"/>
          <w:lang w:val="en-GB"/>
        </w:rPr>
        <w:t xml:space="preserve"> framework as continuation of previous features such as default TCI, joint TCI and separate TCI and common TCI etc, rather than introducing completely new TCI concepts. Therefore, it seems important to understand the previous TCI operation concept and delta between Rel-17 and the previous releases.</w:t>
      </w:r>
    </w:p>
    <w:p w14:paraId="328BE851" w14:textId="77777777" w:rsidR="003A3C8A" w:rsidRPr="00D33FFC" w:rsidRDefault="003A3C8A" w:rsidP="00C056F5">
      <w:pPr>
        <w:ind w:right="-22"/>
        <w:rPr>
          <w:rFonts w:eastAsia="Calibri" w:cs="Times New Roman"/>
          <w:szCs w:val="20"/>
        </w:rPr>
      </w:pPr>
    </w:p>
    <w:tbl>
      <w:tblPr>
        <w:tblStyle w:val="TableGrid"/>
        <w:tblW w:w="0" w:type="auto"/>
        <w:tblLook w:val="04A0" w:firstRow="1" w:lastRow="0" w:firstColumn="1" w:lastColumn="0" w:noHBand="0" w:noVBand="1"/>
      </w:tblPr>
      <w:tblGrid>
        <w:gridCol w:w="9062"/>
      </w:tblGrid>
      <w:tr w:rsidR="006639E6" w:rsidRPr="00D33FFC" w14:paraId="56EA201E" w14:textId="77777777" w:rsidTr="006639E6">
        <w:tc>
          <w:tcPr>
            <w:tcW w:w="9062" w:type="dxa"/>
          </w:tcPr>
          <w:p w14:paraId="7BF42393" w14:textId="3489E574" w:rsidR="0028384E" w:rsidRPr="00D33FFC" w:rsidRDefault="0028384E" w:rsidP="006639E6">
            <w:pPr>
              <w:pStyle w:val="paragraph"/>
              <w:spacing w:before="0" w:beforeAutospacing="0" w:after="0" w:afterAutospacing="0"/>
              <w:textAlignment w:val="baseline"/>
              <w:rPr>
                <w:rStyle w:val="normaltextrun"/>
                <w:b/>
                <w:bCs/>
                <w:color w:val="68717A"/>
                <w:sz w:val="19"/>
                <w:szCs w:val="19"/>
                <w:lang w:val="en-GB"/>
              </w:rPr>
            </w:pPr>
          </w:p>
          <w:p w14:paraId="46F7609D" w14:textId="12B7B5EA" w:rsidR="006605F2" w:rsidRPr="00D33FFC" w:rsidRDefault="006605F2" w:rsidP="006605F2">
            <w:pPr>
              <w:rPr>
                <w:rFonts w:cs="Times"/>
                <w:b/>
                <w:bCs/>
              </w:rPr>
            </w:pPr>
            <w:r w:rsidRPr="00D33FFC">
              <w:rPr>
                <w:rFonts w:cs="Times"/>
                <w:b/>
                <w:bCs/>
              </w:rPr>
              <w:t>RAN1#103 Agreement</w:t>
            </w:r>
          </w:p>
          <w:p w14:paraId="1B423D35" w14:textId="77777777" w:rsidR="006605F2" w:rsidRPr="00D33FFC" w:rsidRDefault="006605F2" w:rsidP="006605F2">
            <w:pPr>
              <w:snapToGrid w:val="0"/>
              <w:jc w:val="both"/>
              <w:rPr>
                <w:rFonts w:cs="Times"/>
                <w:b/>
                <w:bCs/>
                <w:szCs w:val="20"/>
              </w:rPr>
            </w:pPr>
            <w:r w:rsidRPr="00D33FFC">
              <w:rPr>
                <w:rFonts w:cs="Times"/>
                <w:szCs w:val="20"/>
              </w:rPr>
              <w:t xml:space="preserve">On beam indication signaling medium to </w:t>
            </w:r>
            <w:r w:rsidRPr="00D33FFC">
              <w:rPr>
                <w:rFonts w:cs="Times"/>
                <w:b/>
                <w:bCs/>
                <w:szCs w:val="20"/>
              </w:rPr>
              <w:t>support joint or separate DL/UL beam indication in Rel.17 unified TCI framework:</w:t>
            </w:r>
          </w:p>
          <w:p w14:paraId="5732C962" w14:textId="77777777" w:rsidR="006605F2" w:rsidRPr="00D33FFC" w:rsidRDefault="006605F2" w:rsidP="00242852">
            <w:pPr>
              <w:pStyle w:val="ListParagraph"/>
              <w:numPr>
                <w:ilvl w:val="0"/>
                <w:numId w:val="17"/>
              </w:numPr>
              <w:snapToGrid w:val="0"/>
              <w:contextualSpacing w:val="0"/>
              <w:jc w:val="both"/>
              <w:rPr>
                <w:rFonts w:cs="Times"/>
                <w:szCs w:val="20"/>
              </w:rPr>
            </w:pPr>
            <w:r w:rsidRPr="00D33FFC">
              <w:rPr>
                <w:rFonts w:cs="Times"/>
                <w:szCs w:val="20"/>
              </w:rPr>
              <w:t xml:space="preserve">Support L1-based beam indication using at least UE-specific (unicast) DCI to indicate joint or separate DL/UL beam indication from the active TCI states </w:t>
            </w:r>
          </w:p>
          <w:p w14:paraId="5264981B" w14:textId="77777777" w:rsidR="006605F2" w:rsidRPr="00D33FFC" w:rsidRDefault="006605F2" w:rsidP="00242852">
            <w:pPr>
              <w:pStyle w:val="ListParagraph"/>
              <w:numPr>
                <w:ilvl w:val="1"/>
                <w:numId w:val="17"/>
              </w:numPr>
              <w:snapToGrid w:val="0"/>
              <w:contextualSpacing w:val="0"/>
              <w:jc w:val="both"/>
              <w:rPr>
                <w:rFonts w:cs="Times"/>
                <w:szCs w:val="20"/>
              </w:rPr>
            </w:pPr>
            <w:r w:rsidRPr="00D33FFC">
              <w:rPr>
                <w:rFonts w:cs="Times"/>
                <w:szCs w:val="20"/>
              </w:rPr>
              <w:t>The existing DCI formats 1_1 and 1_2 are reused for beam indication</w:t>
            </w:r>
          </w:p>
          <w:p w14:paraId="782C2609" w14:textId="77777777" w:rsidR="006605F2" w:rsidRPr="00D33FFC" w:rsidRDefault="006605F2" w:rsidP="00242852">
            <w:pPr>
              <w:pStyle w:val="ListParagraph"/>
              <w:numPr>
                <w:ilvl w:val="1"/>
                <w:numId w:val="17"/>
              </w:numPr>
              <w:snapToGrid w:val="0"/>
              <w:contextualSpacing w:val="0"/>
              <w:jc w:val="both"/>
              <w:rPr>
                <w:rFonts w:cs="Times"/>
                <w:szCs w:val="20"/>
              </w:rPr>
            </w:pPr>
            <w:r w:rsidRPr="00D33FFC">
              <w:rPr>
                <w:rFonts w:cs="Times"/>
                <w:szCs w:val="20"/>
              </w:rPr>
              <w:t>Support a mechanism for UE to acknowledge successful decoding of beam indication</w:t>
            </w:r>
          </w:p>
          <w:p w14:paraId="50BC2C7E" w14:textId="77777777" w:rsidR="006605F2" w:rsidRPr="00D33FFC" w:rsidRDefault="006605F2" w:rsidP="00242852">
            <w:pPr>
              <w:pStyle w:val="ListParagraph"/>
              <w:numPr>
                <w:ilvl w:val="2"/>
                <w:numId w:val="17"/>
              </w:numPr>
              <w:snapToGrid w:val="0"/>
              <w:contextualSpacing w:val="0"/>
              <w:jc w:val="both"/>
              <w:rPr>
                <w:rFonts w:cs="Times"/>
                <w:szCs w:val="20"/>
              </w:rPr>
            </w:pPr>
            <w:r w:rsidRPr="00D33FFC">
              <w:rPr>
                <w:rFonts w:cs="Times"/>
                <w:szCs w:val="20"/>
              </w:rPr>
              <w:t>The ACK/NAK of the PDSCH scheduled by the DCI carrying the beam indication can be used as an ACK also for the DCI</w:t>
            </w:r>
          </w:p>
          <w:p w14:paraId="5E03B61D" w14:textId="77777777" w:rsidR="006605F2" w:rsidRPr="00D33FFC" w:rsidRDefault="006605F2" w:rsidP="00242852">
            <w:pPr>
              <w:pStyle w:val="ListParagraph"/>
              <w:numPr>
                <w:ilvl w:val="2"/>
                <w:numId w:val="17"/>
              </w:numPr>
              <w:snapToGrid w:val="0"/>
              <w:contextualSpacing w:val="0"/>
              <w:jc w:val="both"/>
              <w:rPr>
                <w:rFonts w:cs="Times"/>
                <w:szCs w:val="20"/>
              </w:rPr>
            </w:pPr>
            <w:r w:rsidRPr="00D33FFC">
              <w:rPr>
                <w:rFonts w:cs="Times"/>
                <w:szCs w:val="20"/>
              </w:rPr>
              <w:t>FFS: Whether any additional specification support is needed</w:t>
            </w:r>
          </w:p>
          <w:p w14:paraId="4F6E564B" w14:textId="77777777" w:rsidR="006605F2" w:rsidRPr="00D33FFC" w:rsidRDefault="006605F2" w:rsidP="00242852">
            <w:pPr>
              <w:pStyle w:val="ListParagraph"/>
              <w:numPr>
                <w:ilvl w:val="0"/>
                <w:numId w:val="17"/>
              </w:numPr>
              <w:snapToGrid w:val="0"/>
              <w:contextualSpacing w:val="0"/>
              <w:jc w:val="both"/>
              <w:rPr>
                <w:rFonts w:cs="Times"/>
                <w:szCs w:val="20"/>
              </w:rPr>
            </w:pPr>
            <w:r w:rsidRPr="00D33FFC">
              <w:rPr>
                <w:rFonts w:cs="Times"/>
                <w:szCs w:val="20"/>
              </w:rPr>
              <w:t>Support activation of one or more TCI states via MAC CE analogous to Rel.15/16:</w:t>
            </w:r>
          </w:p>
          <w:p w14:paraId="56F15A54" w14:textId="77777777" w:rsidR="006605F2" w:rsidRPr="00D33FFC" w:rsidRDefault="006605F2" w:rsidP="00242852">
            <w:pPr>
              <w:pStyle w:val="ListParagraph"/>
              <w:numPr>
                <w:ilvl w:val="1"/>
                <w:numId w:val="17"/>
              </w:numPr>
              <w:snapToGrid w:val="0"/>
              <w:contextualSpacing w:val="0"/>
              <w:jc w:val="both"/>
              <w:rPr>
                <w:rFonts w:cs="Times"/>
                <w:sz w:val="22"/>
                <w:szCs w:val="20"/>
              </w:rPr>
            </w:pPr>
            <w:r w:rsidRPr="00D33FFC">
              <w:rPr>
                <w:rFonts w:cs="Times"/>
                <w:szCs w:val="18"/>
              </w:rPr>
              <w:lastRenderedPageBreak/>
              <w:t>At least for the single activated TCI state, the activated TCI state is applied</w:t>
            </w:r>
          </w:p>
          <w:p w14:paraId="0423359D" w14:textId="77777777" w:rsidR="006605F2" w:rsidRPr="00D33FFC" w:rsidRDefault="006605F2" w:rsidP="00242852">
            <w:pPr>
              <w:pStyle w:val="ListParagraph"/>
              <w:numPr>
                <w:ilvl w:val="1"/>
                <w:numId w:val="17"/>
              </w:numPr>
              <w:snapToGrid w:val="0"/>
              <w:contextualSpacing w:val="0"/>
              <w:jc w:val="both"/>
              <w:rPr>
                <w:rFonts w:cs="Times"/>
                <w:sz w:val="22"/>
                <w:szCs w:val="20"/>
              </w:rPr>
            </w:pPr>
            <w:r w:rsidRPr="00D33FFC">
              <w:rPr>
                <w:rFonts w:cs="Times"/>
                <w:szCs w:val="20"/>
              </w:rPr>
              <w:t>The content for the MAC CE is determined based on the outcome of issue 1</w:t>
            </w:r>
          </w:p>
          <w:p w14:paraId="55CC8D7E" w14:textId="77777777" w:rsidR="006605F2" w:rsidRPr="00D33FFC" w:rsidRDefault="006605F2" w:rsidP="00242852">
            <w:pPr>
              <w:pStyle w:val="ListParagraph"/>
              <w:numPr>
                <w:ilvl w:val="1"/>
                <w:numId w:val="17"/>
              </w:numPr>
              <w:snapToGrid w:val="0"/>
              <w:contextualSpacing w:val="0"/>
              <w:jc w:val="both"/>
              <w:rPr>
                <w:rFonts w:cs="Times"/>
                <w:sz w:val="22"/>
                <w:szCs w:val="20"/>
              </w:rPr>
            </w:pPr>
            <w:r w:rsidRPr="00D33FFC">
              <w:rPr>
                <w:rFonts w:cs="Times"/>
                <w:szCs w:val="20"/>
              </w:rPr>
              <w:t>FFS: If supported, default TCI state when more than one TCI states are activated by MAC CE</w:t>
            </w:r>
          </w:p>
          <w:p w14:paraId="235D033A" w14:textId="77777777" w:rsidR="006605F2" w:rsidRPr="00D33FFC" w:rsidRDefault="006605F2" w:rsidP="00242852">
            <w:pPr>
              <w:pStyle w:val="ListParagraph"/>
              <w:numPr>
                <w:ilvl w:val="1"/>
                <w:numId w:val="17"/>
              </w:numPr>
              <w:snapToGrid w:val="0"/>
              <w:contextualSpacing w:val="0"/>
              <w:jc w:val="both"/>
              <w:rPr>
                <w:rFonts w:cs="Times"/>
                <w:szCs w:val="20"/>
              </w:rPr>
            </w:pPr>
            <w:r w:rsidRPr="00D33FFC">
              <w:rPr>
                <w:rFonts w:cs="Times"/>
                <w:szCs w:val="20"/>
              </w:rPr>
              <w:t xml:space="preserve">Note: There is no implications on the support of single TRP or multi-TRP </w:t>
            </w:r>
          </w:p>
          <w:p w14:paraId="180F058C" w14:textId="77777777" w:rsidR="006605F2" w:rsidRPr="00D33FFC" w:rsidRDefault="006605F2" w:rsidP="006639E6">
            <w:pPr>
              <w:pStyle w:val="paragraph"/>
              <w:spacing w:before="0" w:beforeAutospacing="0" w:after="0" w:afterAutospacing="0"/>
              <w:textAlignment w:val="baseline"/>
              <w:rPr>
                <w:rStyle w:val="normaltextrun"/>
                <w:b/>
                <w:bCs/>
                <w:color w:val="68717A"/>
                <w:sz w:val="19"/>
                <w:szCs w:val="19"/>
              </w:rPr>
            </w:pPr>
          </w:p>
          <w:p w14:paraId="10F9B6E5" w14:textId="6F4DE68B" w:rsidR="006639E6" w:rsidRPr="00D33FFC" w:rsidRDefault="006639E6" w:rsidP="00A370A4">
            <w:pPr>
              <w:ind w:right="-22"/>
              <w:rPr>
                <w:rFonts w:eastAsia="Calibri" w:cs="Times New Roman"/>
                <w:szCs w:val="20"/>
              </w:rPr>
            </w:pPr>
          </w:p>
        </w:tc>
      </w:tr>
    </w:tbl>
    <w:p w14:paraId="78F18D77" w14:textId="2267CF55" w:rsidR="006639E6" w:rsidRPr="00D33FFC" w:rsidRDefault="006639E6" w:rsidP="00C056F5">
      <w:pPr>
        <w:ind w:right="-22"/>
        <w:rPr>
          <w:rFonts w:eastAsia="Calibri" w:cs="Times New Roman"/>
          <w:szCs w:val="20"/>
        </w:rPr>
      </w:pPr>
    </w:p>
    <w:p w14:paraId="113B3162" w14:textId="57E5D003" w:rsidR="007931C2" w:rsidRPr="00D33FFC" w:rsidRDefault="00821F2A" w:rsidP="007931C2">
      <w:pPr>
        <w:spacing w:beforeLines="50" w:before="120"/>
        <w:rPr>
          <w:lang w:val="en-GB" w:eastAsia="zh-CN"/>
        </w:rPr>
      </w:pPr>
      <w:r w:rsidRPr="22A17884">
        <w:rPr>
          <w:lang w:val="en-GB" w:eastAsia="zh-CN"/>
        </w:rPr>
        <w:t>From</w:t>
      </w:r>
      <w:r w:rsidR="006E10FA" w:rsidRPr="22A17884">
        <w:rPr>
          <w:lang w:val="en-GB" w:eastAsia="zh-CN"/>
        </w:rPr>
        <w:t xml:space="preserve"> the agreement above, ‘unified TCI framework’ </w:t>
      </w:r>
      <w:r w:rsidRPr="22A17884">
        <w:rPr>
          <w:lang w:val="en-GB" w:eastAsia="zh-CN"/>
        </w:rPr>
        <w:t>include</w:t>
      </w:r>
      <w:r w:rsidR="006E10FA" w:rsidRPr="22A17884">
        <w:rPr>
          <w:lang w:val="en-GB" w:eastAsia="zh-CN"/>
        </w:rPr>
        <w:t xml:space="preserve"> both ‘joint TCI for DL and UL’ </w:t>
      </w:r>
      <w:r w:rsidR="00975B72" w:rsidRPr="22A17884">
        <w:rPr>
          <w:lang w:val="en-GB" w:eastAsia="zh-CN"/>
        </w:rPr>
        <w:t xml:space="preserve">that indicates DL and UL TCI simultaneously </w:t>
      </w:r>
      <w:r w:rsidR="006E10FA" w:rsidRPr="22A17884">
        <w:rPr>
          <w:lang w:val="en-GB" w:eastAsia="zh-CN"/>
        </w:rPr>
        <w:t xml:space="preserve">and ‘separate beam indication for UL and DL’ </w:t>
      </w:r>
      <w:r w:rsidR="00975B72" w:rsidRPr="22A17884">
        <w:rPr>
          <w:lang w:val="en-GB" w:eastAsia="zh-CN"/>
        </w:rPr>
        <w:t>that provides</w:t>
      </w:r>
      <w:r w:rsidR="006E10FA" w:rsidRPr="22A17884">
        <w:rPr>
          <w:lang w:val="en-GB" w:eastAsia="zh-CN"/>
        </w:rPr>
        <w:t xml:space="preserve"> different </w:t>
      </w:r>
      <w:r w:rsidR="00975B72" w:rsidRPr="22A17884">
        <w:rPr>
          <w:lang w:val="en-GB" w:eastAsia="zh-CN"/>
        </w:rPr>
        <w:t>indications</w:t>
      </w:r>
      <w:r w:rsidR="006E10FA" w:rsidRPr="22A17884">
        <w:rPr>
          <w:lang w:val="en-GB" w:eastAsia="zh-CN"/>
        </w:rPr>
        <w:t xml:space="preserve"> of ‘DL TCI’ and ‘UL TCI’. The mixture of ‘unified TCI’, ‘joint TCI’, ‘DL TCI’, and ‘UL TCI’ are some</w:t>
      </w:r>
      <w:r w:rsidR="00975B72" w:rsidRPr="22A17884">
        <w:rPr>
          <w:lang w:val="en-GB" w:eastAsia="zh-CN"/>
        </w:rPr>
        <w:t>what</w:t>
      </w:r>
      <w:r w:rsidR="006E10FA" w:rsidRPr="22A17884">
        <w:rPr>
          <w:lang w:val="en-GB" w:eastAsia="zh-CN"/>
        </w:rPr>
        <w:t xml:space="preserve"> confusing</w:t>
      </w:r>
      <w:r w:rsidR="00633A91" w:rsidRPr="22A17884">
        <w:rPr>
          <w:lang w:val="en-GB" w:eastAsia="zh-CN"/>
        </w:rPr>
        <w:t xml:space="preserve"> with adding ‘common TCI</w:t>
      </w:r>
      <w:r w:rsidR="00A370A4" w:rsidRPr="22A17884">
        <w:rPr>
          <w:lang w:val="en-GB" w:eastAsia="zh-CN"/>
        </w:rPr>
        <w:t>’ that is explained later</w:t>
      </w:r>
      <w:r w:rsidR="00633A91" w:rsidRPr="22A17884">
        <w:rPr>
          <w:lang w:val="en-GB" w:eastAsia="zh-CN"/>
        </w:rPr>
        <w:t>.</w:t>
      </w:r>
      <w:r w:rsidR="00975B72" w:rsidRPr="22A17884">
        <w:rPr>
          <w:lang w:val="en-GB" w:eastAsia="zh-CN"/>
        </w:rPr>
        <w:t xml:space="preserve"> </w:t>
      </w:r>
      <w:r w:rsidR="2B2A0AFB" w:rsidRPr="22A17884">
        <w:rPr>
          <w:lang w:val="en-GB" w:eastAsia="zh-CN"/>
        </w:rPr>
        <w:t>First</w:t>
      </w:r>
      <w:r w:rsidR="00A370A4" w:rsidRPr="22A17884">
        <w:rPr>
          <w:lang w:val="en-GB" w:eastAsia="zh-CN"/>
        </w:rPr>
        <w:t>, t</w:t>
      </w:r>
      <w:r w:rsidR="00975B72" w:rsidRPr="22A17884">
        <w:rPr>
          <w:lang w:val="en-GB" w:eastAsia="zh-CN"/>
        </w:rPr>
        <w:t xml:space="preserve">he </w:t>
      </w:r>
      <w:r w:rsidR="00633A91" w:rsidRPr="22A17884">
        <w:rPr>
          <w:lang w:val="en-GB" w:eastAsia="zh-CN"/>
        </w:rPr>
        <w:t xml:space="preserve">scope of the unified TCI </w:t>
      </w:r>
      <w:r w:rsidR="00975B72" w:rsidRPr="22A17884">
        <w:rPr>
          <w:lang w:val="en-GB" w:eastAsia="zh-CN"/>
        </w:rPr>
        <w:t>function needs to be clarified firstly</w:t>
      </w:r>
      <w:r w:rsidR="006E10FA" w:rsidRPr="22A17884">
        <w:rPr>
          <w:lang w:val="en-GB" w:eastAsia="zh-CN"/>
        </w:rPr>
        <w:t>.</w:t>
      </w:r>
    </w:p>
    <w:p w14:paraId="14970360" w14:textId="6B8FA96B" w:rsidR="00961C85" w:rsidRPr="00D33FFC" w:rsidRDefault="006E10FA" w:rsidP="007931C2">
      <w:pPr>
        <w:spacing w:beforeLines="50" w:before="120"/>
        <w:rPr>
          <w:rFonts w:eastAsia="Calibri" w:cs="Times New Roman"/>
          <w:szCs w:val="20"/>
          <w:lang w:val="en-GB"/>
        </w:rPr>
      </w:pPr>
      <w:r w:rsidRPr="00D33FFC">
        <w:rPr>
          <w:rFonts w:eastAsia="Calibri" w:cs="Times New Roman"/>
          <w:szCs w:val="20"/>
          <w:lang w:val="en-GB"/>
        </w:rPr>
        <w:t>R</w:t>
      </w:r>
      <w:r w:rsidR="00821F2A" w:rsidRPr="00D33FFC">
        <w:rPr>
          <w:rFonts w:eastAsia="Calibri" w:cs="Times New Roman"/>
          <w:szCs w:val="20"/>
          <w:lang w:val="en-GB"/>
        </w:rPr>
        <w:t>el-</w:t>
      </w:r>
      <w:r w:rsidRPr="00D33FFC">
        <w:rPr>
          <w:rFonts w:eastAsia="Calibri" w:cs="Times New Roman"/>
          <w:szCs w:val="20"/>
          <w:lang w:val="en-GB"/>
        </w:rPr>
        <w:t>15</w:t>
      </w:r>
      <w:r w:rsidR="00821F2A" w:rsidRPr="00D33FFC">
        <w:rPr>
          <w:rFonts w:eastAsia="Calibri" w:cs="Times New Roman"/>
          <w:szCs w:val="20"/>
          <w:lang w:val="en-GB"/>
        </w:rPr>
        <w:t xml:space="preserve"> and Rel-16 have introduced </w:t>
      </w:r>
      <w:r w:rsidRPr="00D33FFC">
        <w:rPr>
          <w:rFonts w:eastAsia="Calibri" w:cs="Times New Roman"/>
          <w:szCs w:val="20"/>
          <w:lang w:val="en-GB"/>
        </w:rPr>
        <w:t>TCI state indicat</w:t>
      </w:r>
      <w:r w:rsidR="00821F2A" w:rsidRPr="00D33FFC">
        <w:rPr>
          <w:rFonts w:eastAsia="Calibri" w:cs="Times New Roman"/>
          <w:szCs w:val="20"/>
          <w:lang w:val="en-GB"/>
        </w:rPr>
        <w:t>ion</w:t>
      </w:r>
      <w:r w:rsidRPr="00D33FFC">
        <w:rPr>
          <w:rFonts w:eastAsia="Calibri" w:cs="Times New Roman"/>
          <w:szCs w:val="20"/>
          <w:lang w:val="en-GB"/>
        </w:rPr>
        <w:t xml:space="preserve"> for PDCCH </w:t>
      </w:r>
      <w:r w:rsidR="00821F2A" w:rsidRPr="00D33FFC">
        <w:rPr>
          <w:rFonts w:eastAsia="Calibri" w:cs="Times New Roman"/>
          <w:szCs w:val="20"/>
          <w:lang w:val="en-GB"/>
        </w:rPr>
        <w:t xml:space="preserve">that </w:t>
      </w:r>
      <w:r w:rsidRPr="00D33FFC">
        <w:rPr>
          <w:rFonts w:eastAsia="Calibri" w:cs="Times New Roman"/>
          <w:szCs w:val="20"/>
          <w:lang w:val="en-GB"/>
        </w:rPr>
        <w:t>can serve as a joint TCI for PDCCH, PDSCH, PUCCH, PUSCH, and SRS</w:t>
      </w:r>
      <w:r w:rsidR="00961C85" w:rsidRPr="00D33FFC">
        <w:rPr>
          <w:rFonts w:eastAsia="Calibri" w:cs="Times New Roman"/>
          <w:szCs w:val="20"/>
          <w:lang w:val="en-GB"/>
        </w:rPr>
        <w:t xml:space="preserve"> as Figure 1</w:t>
      </w:r>
      <w:r w:rsidR="007931C2" w:rsidRPr="00D33FFC">
        <w:rPr>
          <w:rFonts w:eastAsia="Calibri" w:cs="Times New Roman"/>
          <w:szCs w:val="20"/>
          <w:lang w:val="en-GB"/>
        </w:rPr>
        <w:t xml:space="preserve"> that intends basically to utilize DL and UL channel reciprocity. </w:t>
      </w:r>
      <w:r w:rsidR="00961C85" w:rsidRPr="00D33FFC">
        <w:rPr>
          <w:rFonts w:eastAsia="Calibri" w:cs="Times New Roman"/>
          <w:szCs w:val="20"/>
          <w:lang w:val="en-GB"/>
        </w:rPr>
        <w:t xml:space="preserve">One TCI indication is received through </w:t>
      </w:r>
      <w:r w:rsidR="00961C85" w:rsidRPr="00D33FFC">
        <w:rPr>
          <w:rFonts w:cs="Times"/>
          <w:szCs w:val="20"/>
        </w:rPr>
        <w:t>DCI (formats 1_1 and 1_2) or one or more TCI activation via MAC CE, joint beam switching between DL and UL can be controlled by the same TCI indication. T</w:t>
      </w:r>
      <w:r w:rsidRPr="00D33FFC">
        <w:rPr>
          <w:rFonts w:eastAsia="Calibri" w:cs="Times New Roman"/>
          <w:szCs w:val="20"/>
          <w:lang w:val="en-GB"/>
        </w:rPr>
        <w:t>he TCI state indicated for PDCCH become</w:t>
      </w:r>
      <w:r w:rsidR="00961C85" w:rsidRPr="00D33FFC">
        <w:rPr>
          <w:rFonts w:eastAsia="Calibri" w:cs="Times New Roman"/>
          <w:szCs w:val="20"/>
          <w:lang w:val="en-GB"/>
        </w:rPr>
        <w:t xml:space="preserve">s </w:t>
      </w:r>
      <w:r w:rsidRPr="00D33FFC">
        <w:rPr>
          <w:rFonts w:eastAsia="Calibri" w:cs="Times New Roman"/>
          <w:szCs w:val="20"/>
          <w:lang w:val="en-GB"/>
        </w:rPr>
        <w:t xml:space="preserve">a ‘joint TCI’ </w:t>
      </w:r>
    </w:p>
    <w:p w14:paraId="5D6DEDD5" w14:textId="77777777" w:rsidR="00961C85" w:rsidRPr="00D33FFC" w:rsidRDefault="00961C85" w:rsidP="006E10FA">
      <w:pPr>
        <w:ind w:right="-22"/>
        <w:rPr>
          <w:rFonts w:eastAsia="Calibri" w:cs="Times New Roman"/>
          <w:szCs w:val="20"/>
          <w:lang w:val="en-GB"/>
        </w:rPr>
      </w:pPr>
    </w:p>
    <w:p w14:paraId="642E56E3" w14:textId="5AB44C20" w:rsidR="006E10FA" w:rsidRPr="00D33FFC" w:rsidRDefault="00633A91" w:rsidP="00351F82">
      <w:pPr>
        <w:ind w:right="-22"/>
        <w:jc w:val="center"/>
        <w:rPr>
          <w:rFonts w:eastAsia="Calibri" w:cs="Times New Roman"/>
          <w:szCs w:val="20"/>
          <w:lang w:val="en-GB"/>
        </w:rPr>
      </w:pPr>
      <w:r w:rsidRPr="00D33FFC">
        <w:object w:dxaOrig="8951" w:dyaOrig="3021" w14:anchorId="63D92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05pt;height:121.6pt" o:ole="">
            <v:imagedata r:id="rId13" o:title=""/>
          </v:shape>
          <o:OLEObject Type="Embed" ProgID="Visio.Drawing.15" ShapeID="_x0000_i1025" DrawAspect="Content" ObjectID="_1696428320" r:id="rId14"/>
        </w:object>
      </w:r>
    </w:p>
    <w:p w14:paraId="60C82A9D" w14:textId="408864C8" w:rsidR="006E10FA" w:rsidRPr="00D33FFC" w:rsidRDefault="006E10FA" w:rsidP="00351F82">
      <w:pPr>
        <w:ind w:right="-22"/>
        <w:jc w:val="center"/>
        <w:rPr>
          <w:rFonts w:eastAsia="Calibri" w:cs="Times New Roman"/>
          <w:szCs w:val="20"/>
          <w:lang w:val="en-GB"/>
        </w:rPr>
      </w:pPr>
      <w:r w:rsidRPr="00D33FFC">
        <w:rPr>
          <w:rFonts w:eastAsia="Calibri" w:cs="Times New Roman"/>
          <w:szCs w:val="20"/>
          <w:lang w:val="en-GB"/>
        </w:rPr>
        <w:t xml:space="preserve">Figure 1 </w:t>
      </w:r>
      <w:r w:rsidR="008A6FA9" w:rsidRPr="00D33FFC">
        <w:rPr>
          <w:rFonts w:eastAsia="Calibri" w:cs="Times New Roman"/>
          <w:szCs w:val="20"/>
          <w:lang w:val="en-GB"/>
        </w:rPr>
        <w:t xml:space="preserve">: UE behaviour supporting Rel-16 </w:t>
      </w:r>
      <w:r w:rsidR="00351F82" w:rsidRPr="00D33FFC">
        <w:rPr>
          <w:rFonts w:eastAsia="Calibri" w:cs="Times New Roman"/>
          <w:szCs w:val="20"/>
          <w:lang w:val="en-GB"/>
        </w:rPr>
        <w:t>J</w:t>
      </w:r>
      <w:r w:rsidRPr="00D33FFC">
        <w:rPr>
          <w:rFonts w:eastAsia="Calibri" w:cs="Times New Roman"/>
          <w:szCs w:val="20"/>
          <w:lang w:val="en-GB"/>
        </w:rPr>
        <w:t>oint TCI</w:t>
      </w:r>
      <w:r w:rsidR="00633A91" w:rsidRPr="00D33FFC">
        <w:rPr>
          <w:rFonts w:eastAsia="Calibri" w:cs="Times New Roman"/>
          <w:szCs w:val="20"/>
          <w:lang w:val="en-GB"/>
        </w:rPr>
        <w:t xml:space="preserve"> for </w:t>
      </w:r>
      <w:r w:rsidR="007F59C5">
        <w:rPr>
          <w:rFonts w:eastAsia="Calibri" w:cs="Times New Roman"/>
          <w:szCs w:val="20"/>
          <w:lang w:val="en-GB"/>
        </w:rPr>
        <w:t>D</w:t>
      </w:r>
      <w:r w:rsidR="00633A91" w:rsidRPr="00D33FFC">
        <w:rPr>
          <w:rFonts w:eastAsia="Calibri" w:cs="Times New Roman"/>
          <w:szCs w:val="20"/>
          <w:lang w:val="en-GB"/>
        </w:rPr>
        <w:t>L and UL</w:t>
      </w:r>
      <w:r w:rsidR="00C2164A" w:rsidRPr="00D33FFC">
        <w:rPr>
          <w:rFonts w:eastAsia="Calibri" w:cs="Times New Roman"/>
          <w:szCs w:val="20"/>
          <w:lang w:val="en-GB"/>
        </w:rPr>
        <w:t xml:space="preserve"> beam </w:t>
      </w:r>
      <w:r w:rsidR="0053005C" w:rsidRPr="00D33FFC">
        <w:rPr>
          <w:rFonts w:eastAsia="Calibri" w:cs="Times New Roman"/>
          <w:szCs w:val="20"/>
          <w:lang w:val="en-GB"/>
        </w:rPr>
        <w:t>management</w:t>
      </w:r>
    </w:p>
    <w:p w14:paraId="58E4D081" w14:textId="77777777" w:rsidR="00961C85" w:rsidRPr="00D33FFC" w:rsidRDefault="00961C85" w:rsidP="006E10FA">
      <w:pPr>
        <w:ind w:right="-22"/>
        <w:rPr>
          <w:rFonts w:eastAsia="Calibri" w:cs="Times New Roman"/>
          <w:szCs w:val="20"/>
          <w:lang w:val="en-GB"/>
        </w:rPr>
      </w:pPr>
    </w:p>
    <w:p w14:paraId="77EFD29A" w14:textId="002D4288" w:rsidR="00961C85" w:rsidRPr="00D33FFC" w:rsidRDefault="00961C85" w:rsidP="0BE09D0F">
      <w:pPr>
        <w:ind w:right="-22"/>
        <w:rPr>
          <w:rFonts w:eastAsia="Calibri" w:cs="Times New Roman"/>
          <w:szCs w:val="20"/>
          <w:lang w:val="en-GB"/>
        </w:rPr>
      </w:pPr>
      <w:r w:rsidRPr="00D33FFC">
        <w:rPr>
          <w:rFonts w:eastAsia="Calibri" w:cs="Times New Roman"/>
          <w:szCs w:val="20"/>
          <w:lang w:val="en-GB"/>
        </w:rPr>
        <w:t>Also, the separate DL</w:t>
      </w:r>
      <w:r w:rsidR="00697DB6" w:rsidRPr="00D33FFC">
        <w:rPr>
          <w:rFonts w:eastAsia="Calibri" w:cs="Times New Roman"/>
          <w:szCs w:val="20"/>
          <w:lang w:val="en-GB"/>
        </w:rPr>
        <w:t xml:space="preserve"> and </w:t>
      </w:r>
      <w:r w:rsidRPr="00D33FFC">
        <w:rPr>
          <w:rFonts w:eastAsia="Calibri" w:cs="Times New Roman"/>
          <w:szCs w:val="20"/>
          <w:lang w:val="en-GB"/>
        </w:rPr>
        <w:t>UL beam indication is supported in the Rel-17 unified TCI framework</w:t>
      </w:r>
      <w:r w:rsidR="00697DB6" w:rsidRPr="00D33FFC">
        <w:rPr>
          <w:rFonts w:eastAsia="Calibri" w:cs="Times New Roman"/>
          <w:szCs w:val="20"/>
          <w:lang w:val="en-GB"/>
        </w:rPr>
        <w:t xml:space="preserve"> where</w:t>
      </w:r>
      <w:r w:rsidRPr="00D33FFC">
        <w:rPr>
          <w:rFonts w:eastAsia="Calibri" w:cs="Times New Roman"/>
          <w:szCs w:val="20"/>
          <w:lang w:val="en-GB"/>
        </w:rPr>
        <w:t xml:space="preserve"> </w:t>
      </w:r>
      <w:r w:rsidR="00697DB6" w:rsidRPr="00D33FFC">
        <w:rPr>
          <w:rFonts w:eastAsia="Calibri" w:cs="Times New Roman"/>
          <w:szCs w:val="20"/>
          <w:lang w:val="en-GB"/>
        </w:rPr>
        <w:t>a separate TCI for DL and UL is the signalling medium. As stated in the agreement, Rel-17 separate TCI under the unified TCI framework support multiple TCI configurations to utilize two separate TCI states (one for DL and one for UL</w:t>
      </w:r>
      <w:r w:rsidR="1F6EC751" w:rsidRPr="00D33FFC">
        <w:rPr>
          <w:rFonts w:eastAsia="Calibri" w:cs="Times New Roman"/>
          <w:szCs w:val="20"/>
          <w:lang w:val="en-GB"/>
        </w:rPr>
        <w:t>), separate</w:t>
      </w:r>
      <w:r w:rsidR="00697DB6" w:rsidRPr="00D33FFC">
        <w:rPr>
          <w:rFonts w:eastAsia="Calibri" w:cs="Times New Roman"/>
          <w:szCs w:val="20"/>
          <w:lang w:val="en-GB"/>
        </w:rPr>
        <w:t xml:space="preserve"> DL TCI (indicating RSs in M TCIs), separate UL TCI (indicating RSs in N TCIs). This multiple TCI configurations are assumed to support dynamic beam switching under multiple cell/TRP scenarios. </w:t>
      </w:r>
    </w:p>
    <w:p w14:paraId="47F9F1CF" w14:textId="33E358E8" w:rsidR="00EF326F" w:rsidRPr="00D33FFC" w:rsidRDefault="002C10A2" w:rsidP="0023766D">
      <w:pPr>
        <w:ind w:right="-22"/>
        <w:rPr>
          <w:rFonts w:eastAsia="Calibri" w:cs="Times New Roman"/>
          <w:szCs w:val="20"/>
          <w:lang w:val="en-GB"/>
        </w:rPr>
      </w:pPr>
      <w:r w:rsidRPr="00D33FFC">
        <w:rPr>
          <w:rFonts w:eastAsia="Calibri" w:cs="Times New Roman"/>
          <w:szCs w:val="20"/>
          <w:lang w:val="en-GB"/>
        </w:rPr>
        <w:t>One</w:t>
      </w:r>
      <w:r w:rsidR="006E10FA" w:rsidRPr="00D33FFC">
        <w:rPr>
          <w:rFonts w:eastAsia="Calibri" w:cs="Times New Roman"/>
          <w:szCs w:val="20"/>
          <w:lang w:val="en-GB"/>
        </w:rPr>
        <w:t xml:space="preserve"> difference between </w:t>
      </w:r>
      <w:r w:rsidRPr="00D33FFC">
        <w:rPr>
          <w:rFonts w:eastAsia="Calibri" w:cs="Times New Roman"/>
          <w:szCs w:val="20"/>
          <w:lang w:val="en-GB"/>
        </w:rPr>
        <w:t>Rel-</w:t>
      </w:r>
      <w:r w:rsidRPr="00812171">
        <w:rPr>
          <w:rFonts w:eastAsia="Calibri" w:cs="Times New Roman"/>
          <w:szCs w:val="20"/>
          <w:lang w:val="en-GB"/>
        </w:rPr>
        <w:t xml:space="preserve">17 </w:t>
      </w:r>
      <w:r w:rsidR="006E10FA" w:rsidRPr="00812171">
        <w:rPr>
          <w:rFonts w:eastAsia="Calibri" w:cs="Times New Roman"/>
          <w:szCs w:val="20"/>
          <w:lang w:val="en-GB"/>
        </w:rPr>
        <w:t>and R</w:t>
      </w:r>
      <w:r w:rsidR="0027327E" w:rsidRPr="00812171">
        <w:rPr>
          <w:rFonts w:eastAsia="Calibri" w:cs="Times New Roman"/>
          <w:szCs w:val="20"/>
          <w:lang w:val="en-GB"/>
        </w:rPr>
        <w:t>el-</w:t>
      </w:r>
      <w:r w:rsidR="006E10FA" w:rsidRPr="00812171">
        <w:rPr>
          <w:rFonts w:eastAsia="Calibri" w:cs="Times New Roman"/>
          <w:szCs w:val="20"/>
          <w:lang w:val="en-GB"/>
        </w:rPr>
        <w:t xml:space="preserve">16 specification </w:t>
      </w:r>
      <w:r w:rsidRPr="00812171">
        <w:rPr>
          <w:rFonts w:eastAsia="Calibri" w:cs="Times New Roman"/>
          <w:szCs w:val="20"/>
          <w:lang w:val="en-GB"/>
        </w:rPr>
        <w:t xml:space="preserve">is to support </w:t>
      </w:r>
      <w:r w:rsidR="001B5FDD" w:rsidRPr="00812171">
        <w:rPr>
          <w:rFonts w:eastAsia="Calibri" w:cs="Times New Roman"/>
          <w:szCs w:val="20"/>
          <w:lang w:val="en-GB"/>
        </w:rPr>
        <w:t xml:space="preserve">inter cell scenario and inter cell </w:t>
      </w:r>
      <w:proofErr w:type="spellStart"/>
      <w:r w:rsidR="001B5FDD" w:rsidRPr="00812171">
        <w:rPr>
          <w:rFonts w:eastAsia="Calibri" w:cs="Times New Roman"/>
          <w:szCs w:val="20"/>
          <w:lang w:val="en-GB"/>
        </w:rPr>
        <w:t>mTRP</w:t>
      </w:r>
      <w:proofErr w:type="spellEnd"/>
      <w:r w:rsidR="001B5FDD" w:rsidRPr="00812171">
        <w:rPr>
          <w:rFonts w:eastAsia="Calibri" w:cs="Times New Roman"/>
          <w:szCs w:val="20"/>
          <w:lang w:val="en-GB"/>
        </w:rPr>
        <w:t xml:space="preserve"> scenarios with </w:t>
      </w:r>
      <w:r w:rsidR="00FC5B71" w:rsidRPr="00812171">
        <w:rPr>
          <w:rFonts w:eastAsia="Calibri" w:cs="Times New Roman"/>
          <w:szCs w:val="20"/>
          <w:lang w:val="en-GB"/>
        </w:rPr>
        <w:t xml:space="preserve">one or </w:t>
      </w:r>
      <w:r w:rsidRPr="00812171">
        <w:rPr>
          <w:rFonts w:eastAsia="Calibri" w:cs="Times New Roman"/>
          <w:szCs w:val="20"/>
          <w:lang w:val="en-GB"/>
        </w:rPr>
        <w:t>multiple</w:t>
      </w:r>
      <w:r w:rsidR="0027327E" w:rsidRPr="00812171">
        <w:rPr>
          <w:rFonts w:eastAsia="Calibri" w:cs="Times New Roman"/>
          <w:szCs w:val="20"/>
          <w:lang w:val="en-GB"/>
        </w:rPr>
        <w:t xml:space="preserve"> (</w:t>
      </w:r>
      <w:r w:rsidR="00091DDA" w:rsidRPr="00812171">
        <w:rPr>
          <w:rFonts w:eastAsia="Calibri" w:cs="Times New Roman"/>
          <w:szCs w:val="20"/>
          <w:lang w:val="en-GB"/>
        </w:rPr>
        <w:t>M&gt;=1, N &gt;=1</w:t>
      </w:r>
      <w:r w:rsidR="0027327E" w:rsidRPr="00812171">
        <w:rPr>
          <w:rFonts w:eastAsia="Calibri" w:cs="Times New Roman"/>
          <w:szCs w:val="20"/>
          <w:lang w:val="en-GB"/>
        </w:rPr>
        <w:t>)</w:t>
      </w:r>
      <w:r w:rsidRPr="00812171">
        <w:rPr>
          <w:rFonts w:eastAsia="Calibri" w:cs="Times New Roman"/>
          <w:szCs w:val="20"/>
          <w:lang w:val="en-GB"/>
        </w:rPr>
        <w:t xml:space="preserve"> </w:t>
      </w:r>
      <w:r w:rsidR="006E10FA" w:rsidRPr="00812171">
        <w:rPr>
          <w:rFonts w:eastAsia="Calibri" w:cs="Times New Roman"/>
          <w:szCs w:val="20"/>
          <w:lang w:val="en-GB"/>
        </w:rPr>
        <w:t>‘joint</w:t>
      </w:r>
      <w:r w:rsidR="0027327E" w:rsidRPr="00812171">
        <w:rPr>
          <w:rFonts w:eastAsia="Calibri" w:cs="Times New Roman"/>
          <w:szCs w:val="20"/>
          <w:lang w:val="en-GB"/>
        </w:rPr>
        <w:t xml:space="preserve"> / separate’</w:t>
      </w:r>
      <w:r w:rsidR="006E10FA" w:rsidRPr="00812171">
        <w:rPr>
          <w:rFonts w:eastAsia="Calibri" w:cs="Times New Roman"/>
          <w:szCs w:val="20"/>
          <w:lang w:val="en-GB"/>
        </w:rPr>
        <w:t xml:space="preserve"> TCIs</w:t>
      </w:r>
      <w:r w:rsidRPr="00812171">
        <w:rPr>
          <w:rFonts w:eastAsia="Calibri" w:cs="Times New Roman"/>
          <w:szCs w:val="20"/>
          <w:lang w:val="en-GB"/>
        </w:rPr>
        <w:t>’ for DL and UL</w:t>
      </w:r>
      <w:r w:rsidR="0027327E" w:rsidRPr="00812171">
        <w:rPr>
          <w:rFonts w:eastAsia="Calibri" w:cs="Times New Roman"/>
          <w:szCs w:val="20"/>
          <w:lang w:val="en-GB"/>
        </w:rPr>
        <w:t xml:space="preserve"> with different subsets of CORESETs</w:t>
      </w:r>
      <w:r w:rsidRPr="00812171">
        <w:rPr>
          <w:rFonts w:eastAsia="Calibri" w:cs="Times New Roman"/>
          <w:szCs w:val="20"/>
          <w:lang w:val="en-GB"/>
        </w:rPr>
        <w:t xml:space="preserve">. </w:t>
      </w:r>
      <w:r w:rsidR="00FC5B71" w:rsidRPr="00812171">
        <w:rPr>
          <w:rFonts w:eastAsia="Calibri" w:cs="Times New Roman"/>
          <w:szCs w:val="20"/>
          <w:lang w:val="en-GB"/>
        </w:rPr>
        <w:t xml:space="preserve">Multiple TCI case (M&gt;1, N &gt;1) is still under study in RAN1.  </w:t>
      </w:r>
      <w:r w:rsidRPr="00812171">
        <w:rPr>
          <w:rFonts w:eastAsia="Calibri" w:cs="Times New Roman"/>
          <w:szCs w:val="20"/>
          <w:lang w:val="en-GB"/>
        </w:rPr>
        <w:t>They are</w:t>
      </w:r>
      <w:r w:rsidR="006E10FA" w:rsidRPr="00812171">
        <w:rPr>
          <w:rFonts w:eastAsia="Calibri" w:cs="Times New Roman"/>
          <w:szCs w:val="20"/>
          <w:lang w:val="en-GB"/>
        </w:rPr>
        <w:t xml:space="preserve"> applied to different subsets of CORESETs</w:t>
      </w:r>
      <w:r w:rsidR="0027327E" w:rsidRPr="00812171">
        <w:rPr>
          <w:rFonts w:eastAsia="Calibri" w:cs="Times New Roman"/>
          <w:szCs w:val="20"/>
          <w:lang w:val="en-GB"/>
        </w:rPr>
        <w:t xml:space="preserve"> mainly</w:t>
      </w:r>
      <w:r w:rsidR="006E10FA" w:rsidRPr="00812171">
        <w:rPr>
          <w:rFonts w:eastAsia="Calibri" w:cs="Times New Roman"/>
          <w:szCs w:val="20"/>
          <w:lang w:val="en-GB"/>
        </w:rPr>
        <w:t xml:space="preserve"> for DL </w:t>
      </w:r>
      <w:proofErr w:type="spellStart"/>
      <w:r w:rsidR="006E10FA" w:rsidRPr="00812171">
        <w:rPr>
          <w:rFonts w:eastAsia="Calibri" w:cs="Times New Roman"/>
          <w:szCs w:val="20"/>
          <w:lang w:val="en-GB"/>
        </w:rPr>
        <w:t>mTR</w:t>
      </w:r>
      <w:r w:rsidR="007F59C5" w:rsidRPr="00812171">
        <w:rPr>
          <w:rFonts w:eastAsia="Calibri" w:cs="Times New Roman"/>
          <w:szCs w:val="20"/>
          <w:lang w:val="en-GB"/>
        </w:rPr>
        <w:t>x</w:t>
      </w:r>
      <w:r w:rsidR="006E10FA" w:rsidRPr="00812171">
        <w:rPr>
          <w:rFonts w:eastAsia="Calibri" w:cs="Times New Roman"/>
          <w:szCs w:val="20"/>
          <w:lang w:val="en-GB"/>
        </w:rPr>
        <w:t>P</w:t>
      </w:r>
      <w:proofErr w:type="spellEnd"/>
      <w:r w:rsidR="006E10FA" w:rsidRPr="00812171">
        <w:rPr>
          <w:rFonts w:eastAsia="Calibri" w:cs="Times New Roman"/>
          <w:szCs w:val="20"/>
          <w:lang w:val="en-GB"/>
        </w:rPr>
        <w:t xml:space="preserve"> operation</w:t>
      </w:r>
      <w:r w:rsidRPr="00812171">
        <w:rPr>
          <w:rFonts w:eastAsia="Calibri" w:cs="Times New Roman"/>
          <w:szCs w:val="20"/>
          <w:lang w:val="en-GB"/>
        </w:rPr>
        <w:t>, and they enable</w:t>
      </w:r>
      <w:r w:rsidR="006E10FA" w:rsidRPr="00812171">
        <w:rPr>
          <w:rFonts w:eastAsia="Calibri" w:cs="Times New Roman"/>
          <w:szCs w:val="20"/>
          <w:lang w:val="en-GB"/>
        </w:rPr>
        <w:t xml:space="preserve"> </w:t>
      </w:r>
      <w:proofErr w:type="spellStart"/>
      <w:r w:rsidR="006E10FA" w:rsidRPr="00812171">
        <w:rPr>
          <w:rFonts w:eastAsia="Calibri" w:cs="Times New Roman"/>
          <w:szCs w:val="20"/>
          <w:lang w:val="en-GB"/>
        </w:rPr>
        <w:t>mTR</w:t>
      </w:r>
      <w:r w:rsidR="007F59C5" w:rsidRPr="00812171">
        <w:rPr>
          <w:rFonts w:eastAsia="Calibri" w:cs="Times New Roman"/>
          <w:szCs w:val="20"/>
          <w:lang w:val="en-GB"/>
        </w:rPr>
        <w:t>x</w:t>
      </w:r>
      <w:r w:rsidR="006E10FA" w:rsidRPr="00812171">
        <w:rPr>
          <w:rFonts w:eastAsia="Calibri" w:cs="Times New Roman"/>
          <w:szCs w:val="20"/>
          <w:lang w:val="en-GB"/>
        </w:rPr>
        <w:t>P</w:t>
      </w:r>
      <w:proofErr w:type="spellEnd"/>
      <w:r w:rsidR="006E10FA" w:rsidRPr="00812171">
        <w:rPr>
          <w:rFonts w:eastAsia="Calibri" w:cs="Times New Roman"/>
          <w:szCs w:val="20"/>
          <w:lang w:val="en-GB"/>
        </w:rPr>
        <w:t xml:space="preserve">-based PDCCH transmission </w:t>
      </w:r>
      <w:r w:rsidRPr="00812171">
        <w:rPr>
          <w:rFonts w:eastAsia="Calibri" w:cs="Times New Roman"/>
          <w:szCs w:val="20"/>
          <w:lang w:val="en-GB"/>
        </w:rPr>
        <w:t>and reception indication</w:t>
      </w:r>
      <w:r w:rsidR="006E10FA" w:rsidRPr="00812171">
        <w:rPr>
          <w:rFonts w:eastAsia="Calibri" w:cs="Times New Roman"/>
          <w:szCs w:val="20"/>
          <w:lang w:val="en-GB"/>
        </w:rPr>
        <w:t xml:space="preserve">. </w:t>
      </w:r>
      <w:r w:rsidRPr="00812171">
        <w:rPr>
          <w:rFonts w:eastAsia="Calibri" w:cs="Times New Roman"/>
          <w:szCs w:val="20"/>
          <w:lang w:val="en-GB"/>
        </w:rPr>
        <w:t xml:space="preserve"> Also, default TCI </w:t>
      </w:r>
      <w:r w:rsidR="00C46B44" w:rsidRPr="00812171">
        <w:rPr>
          <w:rFonts w:eastAsia="Calibri" w:cs="Times New Roman"/>
          <w:szCs w:val="20"/>
          <w:lang w:val="en-GB"/>
        </w:rPr>
        <w:t xml:space="preserve">state </w:t>
      </w:r>
      <w:r w:rsidRPr="00812171">
        <w:rPr>
          <w:rFonts w:eastAsia="Calibri" w:cs="Times New Roman"/>
          <w:szCs w:val="20"/>
          <w:lang w:val="en-GB"/>
        </w:rPr>
        <w:t xml:space="preserve">exists among the multiple TCIs, </w:t>
      </w:r>
      <w:r w:rsidR="00C46B44" w:rsidRPr="00812171">
        <w:rPr>
          <w:rFonts w:eastAsia="Calibri" w:cs="Times New Roman"/>
          <w:szCs w:val="20"/>
          <w:lang w:val="en-GB"/>
        </w:rPr>
        <w:t>a default spatial</w:t>
      </w:r>
      <w:r w:rsidR="00C46B44" w:rsidRPr="00812171">
        <w:rPr>
          <w:rFonts w:eastAsia="Calibri" w:cs="Times New Roman"/>
          <w:sz w:val="22"/>
          <w:lang w:val="en-GB"/>
        </w:rPr>
        <w:t xml:space="preserve"> </w:t>
      </w:r>
      <w:r w:rsidR="00C46B44" w:rsidRPr="00D33FFC">
        <w:rPr>
          <w:rFonts w:eastAsia="Calibri" w:cs="Times New Roman"/>
          <w:szCs w:val="20"/>
          <w:lang w:val="en-GB"/>
        </w:rPr>
        <w:t>relation of UL transmission (PUCCH,PUSCH,SRS) follows QCL Type-D RS of the lowest configured CORESET.</w:t>
      </w:r>
      <w:r w:rsidR="0023766D" w:rsidRPr="00D33FFC">
        <w:rPr>
          <w:rFonts w:eastAsia="Calibri" w:cs="Times New Roman"/>
          <w:szCs w:val="20"/>
          <w:lang w:val="en-GB"/>
        </w:rPr>
        <w:t xml:space="preserve"> The Rel-17 unified TCI to support multiple TPRs needs new requirements with signalling medium. </w:t>
      </w:r>
    </w:p>
    <w:p w14:paraId="0E9FC9DD" w14:textId="77777777" w:rsidR="00EF326F" w:rsidRPr="00D33FFC" w:rsidRDefault="00EF326F" w:rsidP="00EF326F">
      <w:pPr>
        <w:ind w:right="-22"/>
        <w:rPr>
          <w:rFonts w:eastAsia="Calibri" w:cs="Times New Roman"/>
          <w:szCs w:val="20"/>
          <w:lang w:val="en-GB"/>
        </w:rPr>
      </w:pPr>
      <w:r w:rsidRPr="00D33FFC">
        <w:rPr>
          <w:rFonts w:eastAsia="Calibri" w:cs="Times New Roman"/>
          <w:szCs w:val="20"/>
          <w:lang w:val="en-GB"/>
        </w:rPr>
        <w:t xml:space="preserve">Also, another difference from the previous release is found in UL TCI indication in the unified TCI framework. While UL TCI can be implicitly indicated without signalling in the previous releases, Rel-17 unified TCI framework introduces an explicit UL TCI indication for FR2. </w:t>
      </w:r>
    </w:p>
    <w:p w14:paraId="4EDE157B" w14:textId="77777777" w:rsidR="00091DDA" w:rsidRPr="00D33FFC" w:rsidRDefault="00091DDA" w:rsidP="00091DDA">
      <w:pPr>
        <w:ind w:right="-22"/>
        <w:rPr>
          <w:rFonts w:eastAsia="Calibri" w:cs="Times New Roman"/>
          <w:szCs w:val="20"/>
          <w:lang w:val="en-GB"/>
        </w:rPr>
      </w:pPr>
    </w:p>
    <w:p w14:paraId="3FE68632" w14:textId="3E8785EA" w:rsidR="00091DDA" w:rsidRPr="00D23483" w:rsidRDefault="00091DDA" w:rsidP="00091DDA">
      <w:pPr>
        <w:ind w:right="-22"/>
        <w:rPr>
          <w:rFonts w:eastAsia="Calibri" w:cs="Times New Roman"/>
          <w:szCs w:val="20"/>
          <w:lang w:val="en-GB"/>
        </w:rPr>
      </w:pPr>
      <w:r w:rsidRPr="00D23483">
        <w:rPr>
          <w:rFonts w:eastAsia="Calibri" w:cs="Times New Roman"/>
          <w:b/>
          <w:bCs/>
          <w:szCs w:val="20"/>
          <w:lang w:val="en-GB"/>
        </w:rPr>
        <w:t xml:space="preserve">Observation </w:t>
      </w:r>
      <w:r w:rsidR="00DE0B74" w:rsidRPr="00D23483">
        <w:rPr>
          <w:rFonts w:eastAsia="Calibri" w:cs="Times New Roman"/>
          <w:b/>
          <w:bCs/>
          <w:szCs w:val="20"/>
          <w:lang w:val="en-GB"/>
        </w:rPr>
        <w:t xml:space="preserve">1 </w:t>
      </w:r>
      <w:r w:rsidRPr="00D23483">
        <w:rPr>
          <w:rFonts w:eastAsia="Calibri" w:cs="Times New Roman"/>
          <w:b/>
          <w:bCs/>
          <w:szCs w:val="20"/>
          <w:lang w:val="en-GB"/>
        </w:rPr>
        <w:t>:</w:t>
      </w:r>
      <w:r w:rsidRPr="00D23483">
        <w:rPr>
          <w:rFonts w:eastAsia="Calibri" w:cs="Times New Roman"/>
          <w:szCs w:val="20"/>
          <w:lang w:val="en-GB"/>
        </w:rPr>
        <w:t xml:space="preserve"> </w:t>
      </w:r>
      <w:r w:rsidR="001B5FDD" w:rsidRPr="00D23483">
        <w:rPr>
          <w:rFonts w:eastAsia="Calibri" w:cs="Times New Roman"/>
          <w:szCs w:val="20"/>
          <w:lang w:val="en-GB"/>
        </w:rPr>
        <w:t xml:space="preserve">Rel-17 </w:t>
      </w:r>
      <w:proofErr w:type="spellStart"/>
      <w:r w:rsidR="00DE0B74" w:rsidRPr="00D23483">
        <w:rPr>
          <w:rFonts w:eastAsia="Calibri" w:cs="Times New Roman"/>
          <w:szCs w:val="20"/>
          <w:lang w:val="en-GB"/>
        </w:rPr>
        <w:t>feMIMO</w:t>
      </w:r>
      <w:proofErr w:type="spellEnd"/>
      <w:r w:rsidR="001B5FDD" w:rsidRPr="00D23483">
        <w:rPr>
          <w:rFonts w:eastAsia="Calibri" w:cs="Times New Roman"/>
          <w:szCs w:val="20"/>
          <w:lang w:val="en-GB"/>
        </w:rPr>
        <w:t xml:space="preserve"> </w:t>
      </w:r>
      <w:r w:rsidR="00DE0B74" w:rsidRPr="00D23483">
        <w:rPr>
          <w:rFonts w:eastAsia="Calibri" w:cs="Times New Roman"/>
          <w:szCs w:val="20"/>
          <w:lang w:val="en-GB"/>
        </w:rPr>
        <w:t>supports</w:t>
      </w:r>
      <w:r w:rsidR="001B5FDD" w:rsidRPr="00D23483">
        <w:rPr>
          <w:rFonts w:eastAsia="Calibri" w:cs="Times New Roman"/>
          <w:szCs w:val="20"/>
          <w:lang w:val="en-GB"/>
        </w:rPr>
        <w:t xml:space="preserve"> inter cell </w:t>
      </w:r>
      <w:r w:rsidR="00297353" w:rsidRPr="00D23483">
        <w:rPr>
          <w:rFonts w:eastAsia="Calibri" w:cs="Times New Roman"/>
          <w:szCs w:val="20"/>
          <w:lang w:val="en-GB"/>
        </w:rPr>
        <w:t xml:space="preserve">BM </w:t>
      </w:r>
      <w:r w:rsidR="001B5FDD" w:rsidRPr="00D23483">
        <w:rPr>
          <w:rFonts w:eastAsia="Calibri" w:cs="Times New Roman"/>
          <w:szCs w:val="20"/>
          <w:lang w:val="en-GB"/>
        </w:rPr>
        <w:t xml:space="preserve">and inter cell </w:t>
      </w:r>
      <w:proofErr w:type="spellStart"/>
      <w:r w:rsidR="001B5FDD" w:rsidRPr="00D23483">
        <w:rPr>
          <w:rFonts w:eastAsia="Calibri" w:cs="Times New Roman"/>
          <w:szCs w:val="20"/>
          <w:lang w:val="en-GB"/>
        </w:rPr>
        <w:t>mTRP</w:t>
      </w:r>
      <w:proofErr w:type="spellEnd"/>
      <w:r w:rsidR="001B5FDD" w:rsidRPr="00D23483">
        <w:rPr>
          <w:rFonts w:eastAsia="Calibri" w:cs="Times New Roman"/>
          <w:szCs w:val="20"/>
          <w:lang w:val="en-GB"/>
        </w:rPr>
        <w:t xml:space="preserve"> with one or multiple (M&gt;=1, N &gt;=1) ‘joint / separate’ TCIs’ for DL and UL</w:t>
      </w:r>
    </w:p>
    <w:p w14:paraId="64BCDF84" w14:textId="77777777" w:rsidR="00633A91" w:rsidRPr="00D23483" w:rsidRDefault="00633A91" w:rsidP="00633A91">
      <w:pPr>
        <w:ind w:right="-22"/>
        <w:rPr>
          <w:rFonts w:eastAsia="Calibri" w:cs="Times New Roman"/>
          <w:szCs w:val="20"/>
          <w:lang w:val="en-GB"/>
        </w:rPr>
      </w:pPr>
    </w:p>
    <w:p w14:paraId="616B7415" w14:textId="3925A0FA" w:rsidR="00F30E51" w:rsidRPr="00D33FFC" w:rsidRDefault="00633A91" w:rsidP="00F30E51">
      <w:pPr>
        <w:ind w:right="-22"/>
        <w:rPr>
          <w:rFonts w:eastAsia="Calibri" w:cs="Times New Roman"/>
          <w:szCs w:val="20"/>
        </w:rPr>
      </w:pPr>
      <w:r w:rsidRPr="00D33FFC">
        <w:rPr>
          <w:rFonts w:eastAsia="Calibri" w:cs="Times New Roman"/>
          <w:szCs w:val="20"/>
        </w:rPr>
        <w:t>RAN1 has been working on improving the DCI based TCI state switching. The work involves enabling the use of DCI based TCI state switch for one or more channels simultaneously. As part of this work RAN1 is discussing introducing common beam management and unified beam management.</w:t>
      </w:r>
      <w:r w:rsidR="00F30E51">
        <w:rPr>
          <w:rFonts w:eastAsia="Calibri" w:cs="Times New Roman"/>
          <w:szCs w:val="20"/>
        </w:rPr>
        <w:t xml:space="preserve"> W</w:t>
      </w:r>
      <w:r w:rsidR="00F30E51" w:rsidRPr="00D33FFC">
        <w:rPr>
          <w:rFonts w:eastAsia="Calibri" w:cs="Times New Roman"/>
          <w:szCs w:val="20"/>
        </w:rPr>
        <w:t xml:space="preserve">e reviewed the features of the unified TCI in Rel-17 for multiple-beam and multiple-cell scenarios, and Figure 2 shows outline of the unified TCI framework under current RAN1 agreements up to RAN1#105. With this understanding, RAN4 </w:t>
      </w:r>
      <w:r w:rsidR="00F30E51" w:rsidRPr="00D33FFC">
        <w:rPr>
          <w:rFonts w:eastAsia="Calibri" w:cs="Times New Roman" w:hint="eastAsia"/>
          <w:szCs w:val="20"/>
        </w:rPr>
        <w:t>c</w:t>
      </w:r>
      <w:r w:rsidR="00F30E51" w:rsidRPr="00D33FFC">
        <w:rPr>
          <w:rFonts w:eastAsia="Calibri" w:cs="Times New Roman"/>
          <w:szCs w:val="20"/>
        </w:rPr>
        <w:t>an further discuss new RRM requirements for Rel-17. In summary, the features in Rel-17 are as below :</w:t>
      </w:r>
    </w:p>
    <w:p w14:paraId="725135F9" w14:textId="77777777" w:rsidR="00F30E51" w:rsidRPr="00D33FFC" w:rsidRDefault="00F30E51" w:rsidP="00F30E51">
      <w:pPr>
        <w:pStyle w:val="ListParagraph"/>
        <w:numPr>
          <w:ilvl w:val="0"/>
          <w:numId w:val="27"/>
        </w:numPr>
        <w:ind w:right="-22"/>
        <w:rPr>
          <w:rFonts w:eastAsia="Calibri" w:cs="Times New Roman"/>
          <w:szCs w:val="20"/>
        </w:rPr>
      </w:pPr>
      <w:r w:rsidRPr="00D33FFC">
        <w:rPr>
          <w:lang w:val="en-GB" w:eastAsia="zh-CN"/>
        </w:rPr>
        <w:t>Rel-17 ‘Unified TCI framework’ include both ‘joint TCI for DL and UL’ that indicates both DL and UL TCI and ‘separate beam indication for UL and DL respectively.</w:t>
      </w:r>
    </w:p>
    <w:p w14:paraId="30908453" w14:textId="77777777" w:rsidR="00F30E51" w:rsidRPr="00D33FFC" w:rsidRDefault="00F30E51" w:rsidP="00F30E51">
      <w:pPr>
        <w:pStyle w:val="ListParagraph"/>
        <w:numPr>
          <w:ilvl w:val="0"/>
          <w:numId w:val="27"/>
        </w:numPr>
        <w:ind w:right="-22"/>
        <w:rPr>
          <w:rFonts w:eastAsia="Calibri" w:cs="Times New Roman"/>
          <w:szCs w:val="20"/>
        </w:rPr>
      </w:pPr>
      <w:r w:rsidRPr="00D33FFC">
        <w:rPr>
          <w:rFonts w:eastAsia="Calibri" w:cs="Times New Roman"/>
          <w:szCs w:val="20"/>
          <w:lang w:val="en-GB"/>
        </w:rPr>
        <w:t>Rel-17 specification</w:t>
      </w:r>
      <w:r w:rsidRPr="00D33FFC">
        <w:rPr>
          <w:rFonts w:eastAsia="Calibri" w:cs="Times New Roman"/>
          <w:sz w:val="18"/>
          <w:szCs w:val="18"/>
          <w:lang w:val="en-GB"/>
        </w:rPr>
        <w:t xml:space="preserve"> can support separate UL TCI indication for FR2. A UE determines a common UL TX spatial filter(s) on PUSCH and PUCCH different from DL RX beam determination.</w:t>
      </w:r>
    </w:p>
    <w:p w14:paraId="3331292A" w14:textId="77777777" w:rsidR="00F30E51" w:rsidRPr="00D33FFC" w:rsidRDefault="00F30E51" w:rsidP="00F30E51">
      <w:pPr>
        <w:pStyle w:val="ListParagraph"/>
        <w:numPr>
          <w:ilvl w:val="0"/>
          <w:numId w:val="27"/>
        </w:numPr>
        <w:ind w:right="-22"/>
        <w:rPr>
          <w:rFonts w:eastAsia="Calibri" w:cs="Times New Roman"/>
          <w:szCs w:val="20"/>
        </w:rPr>
      </w:pPr>
      <w:r w:rsidRPr="00D33FFC">
        <w:rPr>
          <w:rFonts w:eastAsia="Calibri" w:cs="Times New Roman"/>
          <w:szCs w:val="20"/>
          <w:lang w:val="en-GB"/>
        </w:rPr>
        <w:t>Rel-17 specification</w:t>
      </w:r>
      <w:r w:rsidRPr="00D33FFC">
        <w:rPr>
          <w:rFonts w:eastAsia="Calibri" w:cs="Times New Roman"/>
          <w:sz w:val="18"/>
          <w:szCs w:val="18"/>
          <w:lang w:val="en-GB"/>
        </w:rPr>
        <w:t xml:space="preserve"> supports ‘joint / separate’ TCIs’ for DL and UL with different subsets of CORESETs. (multiple TCIs with M&gt;1, N&gt;1 is FFS in RAN1.)</w:t>
      </w:r>
    </w:p>
    <w:p w14:paraId="0004EEE7" w14:textId="77777777" w:rsidR="00F30E51" w:rsidRPr="00D33FFC" w:rsidRDefault="00F30E51" w:rsidP="00F30E51">
      <w:pPr>
        <w:pStyle w:val="ListParagraph"/>
        <w:numPr>
          <w:ilvl w:val="0"/>
          <w:numId w:val="27"/>
        </w:numPr>
        <w:ind w:right="-22"/>
        <w:rPr>
          <w:rFonts w:eastAsia="Calibri" w:cs="Times New Roman"/>
          <w:szCs w:val="20"/>
        </w:rPr>
      </w:pPr>
      <w:r w:rsidRPr="00D33FFC">
        <w:rPr>
          <w:rFonts w:eastAsia="Calibri" w:cs="Times New Roman"/>
          <w:szCs w:val="20"/>
        </w:rPr>
        <w:t>Although UE behaviors based on common TCI (i.e. applying common spatial filter to channels) exists in the previous releases, “common TCI” signaling introduction is new in Rel-17.</w:t>
      </w:r>
    </w:p>
    <w:p w14:paraId="584DC1B3" w14:textId="77777777" w:rsidR="00F30E51" w:rsidRPr="00D33FFC" w:rsidRDefault="00F30E51" w:rsidP="00F30E51">
      <w:pPr>
        <w:pStyle w:val="ListParagraph"/>
        <w:numPr>
          <w:ilvl w:val="0"/>
          <w:numId w:val="27"/>
        </w:numPr>
        <w:ind w:right="-22"/>
        <w:rPr>
          <w:rFonts w:eastAsia="Calibri" w:cs="Times New Roman"/>
          <w:szCs w:val="20"/>
        </w:rPr>
      </w:pPr>
      <w:r w:rsidRPr="00D33FFC">
        <w:rPr>
          <w:rFonts w:eastAsia="Calibri" w:cs="Times New Roman"/>
          <w:szCs w:val="20"/>
        </w:rPr>
        <w:t xml:space="preserve">Rel-17 provides new </w:t>
      </w:r>
      <w:r w:rsidRPr="00D33FFC">
        <w:rPr>
          <w:rStyle w:val="normaltextrun"/>
          <w:sz w:val="19"/>
          <w:szCs w:val="19"/>
          <w:lang w:val="en-GB"/>
        </w:rPr>
        <w:t xml:space="preserve">TCI state pool for DL and UL to indicate different TCI per RS / Channels. </w:t>
      </w:r>
    </w:p>
    <w:p w14:paraId="3A0CC932" w14:textId="77777777" w:rsidR="00F30E51" w:rsidRPr="00D33FFC" w:rsidRDefault="00F30E51" w:rsidP="00F30E51">
      <w:pPr>
        <w:ind w:right="-22"/>
        <w:rPr>
          <w:rFonts w:eastAsia="Calibri" w:cs="Times New Roman"/>
          <w:szCs w:val="20"/>
          <w:lang w:val="en-GB"/>
        </w:rPr>
      </w:pPr>
    </w:p>
    <w:p w14:paraId="178F4A59" w14:textId="77777777" w:rsidR="00F30E51" w:rsidRPr="00D33FFC" w:rsidRDefault="00F30E51" w:rsidP="00F30E51">
      <w:pPr>
        <w:ind w:right="-22"/>
        <w:jc w:val="center"/>
        <w:rPr>
          <w:rFonts w:eastAsia="Calibri" w:cs="Times New Roman"/>
          <w:szCs w:val="20"/>
          <w:lang w:val="en-GB"/>
        </w:rPr>
      </w:pPr>
      <w:r w:rsidRPr="00D33FFC">
        <w:rPr>
          <w:noProof/>
        </w:rPr>
        <w:drawing>
          <wp:inline distT="0" distB="0" distL="0" distR="0" wp14:anchorId="535050E2" wp14:editId="4B3BD221">
            <wp:extent cx="5245177" cy="3023262"/>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53144" cy="3027854"/>
                    </a:xfrm>
                    <a:prstGeom prst="rect">
                      <a:avLst/>
                    </a:prstGeom>
                  </pic:spPr>
                </pic:pic>
              </a:graphicData>
            </a:graphic>
          </wp:inline>
        </w:drawing>
      </w:r>
    </w:p>
    <w:p w14:paraId="6F24013C" w14:textId="77777777" w:rsidR="00F30E51" w:rsidRPr="00D33FFC" w:rsidRDefault="00F30E51" w:rsidP="00F30E51">
      <w:pPr>
        <w:ind w:right="-22"/>
        <w:jc w:val="center"/>
        <w:rPr>
          <w:rFonts w:eastAsia="Calibri" w:cs="Times New Roman"/>
          <w:b/>
          <w:bCs/>
          <w:szCs w:val="20"/>
          <w:lang w:val="en-GB"/>
        </w:rPr>
      </w:pPr>
      <w:r w:rsidRPr="00D33FFC">
        <w:rPr>
          <w:rFonts w:eastAsia="Calibri" w:cs="Times New Roman"/>
          <w:b/>
          <w:bCs/>
          <w:szCs w:val="20"/>
          <w:lang w:val="en-GB"/>
        </w:rPr>
        <w:t>Figure 2. Outline of unified TCI framework</w:t>
      </w:r>
    </w:p>
    <w:p w14:paraId="2DA6EBA3" w14:textId="77777777" w:rsidR="00F30E51" w:rsidRPr="00D33FFC" w:rsidRDefault="00F30E51" w:rsidP="00633A91">
      <w:pPr>
        <w:ind w:right="-22"/>
        <w:rPr>
          <w:rFonts w:eastAsia="Calibri" w:cs="Times New Roman"/>
          <w:szCs w:val="20"/>
        </w:rPr>
      </w:pPr>
    </w:p>
    <w:p w14:paraId="7CAA74A9" w14:textId="1AA6CA30" w:rsidR="00D20F16" w:rsidRPr="00263E87" w:rsidRDefault="00D20F16" w:rsidP="02F6808A">
      <w:pPr>
        <w:ind w:right="-22"/>
        <w:rPr>
          <w:rFonts w:eastAsia="Calibri" w:cs="Times New Roman"/>
        </w:rPr>
      </w:pPr>
      <w:r w:rsidRPr="02F6808A">
        <w:rPr>
          <w:rFonts w:eastAsia="Calibri" w:cs="Times New Roman"/>
        </w:rPr>
        <w:t>Unified TCI feature is the framework in Rel-17, however in physical layer, actual TCI switching is executed as DL TCI switching or UL TCI switching under Rel-17 unified TCI framework</w:t>
      </w:r>
      <w:r w:rsidR="5840AD64" w:rsidRPr="02F6808A">
        <w:rPr>
          <w:rFonts w:eastAsia="Calibri" w:cs="Times New Roman"/>
        </w:rPr>
        <w:t xml:space="preserve">. </w:t>
      </w:r>
      <w:r w:rsidRPr="02F6808A">
        <w:rPr>
          <w:rFonts w:eastAsia="Calibri" w:cs="Times New Roman"/>
        </w:rPr>
        <w:t>RAN4 focuses on DL TCI switching and UL TCI switching requirement to commonly support unified/joint/separate TCI framework. Unified/joint/separate/ TCI switching do not make specific requirements.</w:t>
      </w:r>
    </w:p>
    <w:p w14:paraId="41EC5A69" w14:textId="77777777" w:rsidR="001B5FDD" w:rsidRDefault="001B5FDD" w:rsidP="00FC5B71">
      <w:pPr>
        <w:ind w:right="-22"/>
        <w:rPr>
          <w:rFonts w:eastAsia="Calibri" w:cs="Times New Roman"/>
          <w:szCs w:val="20"/>
          <w:highlight w:val="cyan"/>
          <w:lang w:val="en-GB"/>
        </w:rPr>
      </w:pPr>
    </w:p>
    <w:p w14:paraId="0E32E2DF" w14:textId="201C3FB0" w:rsidR="00F30E51" w:rsidRPr="00D23483" w:rsidRDefault="0064623E" w:rsidP="00FC5B71">
      <w:pPr>
        <w:ind w:right="-22"/>
        <w:rPr>
          <w:rFonts w:eastAsiaTheme="minorEastAsia"/>
          <w:lang w:eastAsia="zh-CN"/>
        </w:rPr>
      </w:pPr>
      <w:r w:rsidRPr="00D23483">
        <w:rPr>
          <w:rFonts w:eastAsia="Calibri" w:cs="Times New Roman"/>
          <w:b/>
          <w:bCs/>
          <w:szCs w:val="20"/>
          <w:lang w:val="en-GB"/>
        </w:rPr>
        <w:t xml:space="preserve">Observation </w:t>
      </w:r>
      <w:r w:rsidR="00DE0B74" w:rsidRPr="00D23483">
        <w:rPr>
          <w:rFonts w:eastAsia="Calibri" w:cs="Times New Roman"/>
          <w:b/>
          <w:bCs/>
          <w:szCs w:val="20"/>
          <w:lang w:val="en-GB"/>
        </w:rPr>
        <w:t xml:space="preserve">2 </w:t>
      </w:r>
      <w:r w:rsidRPr="00D23483">
        <w:rPr>
          <w:rFonts w:eastAsia="Calibri" w:cs="Times New Roman"/>
          <w:b/>
          <w:bCs/>
          <w:szCs w:val="20"/>
          <w:lang w:val="en-GB"/>
        </w:rPr>
        <w:t>:</w:t>
      </w:r>
      <w:r w:rsidRPr="00D23483">
        <w:rPr>
          <w:rFonts w:eastAsia="Calibri" w:cs="Times New Roman"/>
          <w:szCs w:val="20"/>
          <w:lang w:val="en-GB"/>
        </w:rPr>
        <w:t xml:space="preserve"> </w:t>
      </w:r>
      <w:r w:rsidR="00E413BB" w:rsidRPr="00D23483">
        <w:rPr>
          <w:rFonts w:eastAsia="Calibri" w:cs="Times New Roman"/>
          <w:szCs w:val="20"/>
          <w:lang w:val="en-GB"/>
        </w:rPr>
        <w:t>Unified</w:t>
      </w:r>
      <w:r w:rsidR="00E413BB" w:rsidRPr="00D23483">
        <w:rPr>
          <w:rFonts w:eastAsiaTheme="minorEastAsia"/>
          <w:lang w:eastAsia="zh-CN"/>
        </w:rPr>
        <w:t xml:space="preserve"> </w:t>
      </w:r>
      <w:r w:rsidRPr="00D23483">
        <w:rPr>
          <w:rFonts w:eastAsiaTheme="minorEastAsia"/>
          <w:lang w:eastAsia="zh-CN"/>
        </w:rPr>
        <w:t xml:space="preserve">TCI </w:t>
      </w:r>
      <w:r w:rsidR="00E413BB" w:rsidRPr="00D23483">
        <w:rPr>
          <w:rFonts w:eastAsiaTheme="minorEastAsia"/>
          <w:lang w:eastAsia="zh-CN"/>
        </w:rPr>
        <w:t>feature is</w:t>
      </w:r>
      <w:r w:rsidRPr="00D23483">
        <w:rPr>
          <w:rFonts w:eastAsiaTheme="minorEastAsia"/>
          <w:lang w:eastAsia="zh-CN"/>
        </w:rPr>
        <w:t xml:space="preserve"> the framework</w:t>
      </w:r>
      <w:r w:rsidR="00F30E51" w:rsidRPr="00D23483">
        <w:rPr>
          <w:rFonts w:eastAsiaTheme="minorEastAsia"/>
          <w:lang w:eastAsia="zh-CN"/>
        </w:rPr>
        <w:t xml:space="preserve"> </w:t>
      </w:r>
      <w:r w:rsidR="00E413BB" w:rsidRPr="00D23483">
        <w:rPr>
          <w:rFonts w:eastAsiaTheme="minorEastAsia"/>
          <w:lang w:eastAsia="zh-CN"/>
        </w:rPr>
        <w:t>in Rel-17</w:t>
      </w:r>
      <w:r w:rsidRPr="00D23483">
        <w:rPr>
          <w:rFonts w:eastAsiaTheme="minorEastAsia"/>
          <w:lang w:eastAsia="zh-CN"/>
        </w:rPr>
        <w:t xml:space="preserve">, </w:t>
      </w:r>
      <w:r w:rsidR="00F30E51" w:rsidRPr="00D23483">
        <w:rPr>
          <w:rFonts w:eastAsiaTheme="minorEastAsia"/>
          <w:lang w:eastAsia="zh-CN"/>
        </w:rPr>
        <w:t xml:space="preserve">however </w:t>
      </w:r>
      <w:r w:rsidR="00E413BB" w:rsidRPr="00D23483">
        <w:rPr>
          <w:rFonts w:eastAsiaTheme="minorEastAsia"/>
          <w:lang w:eastAsia="zh-CN"/>
        </w:rPr>
        <w:t>i</w:t>
      </w:r>
      <w:r w:rsidR="00F30E51" w:rsidRPr="00D23483">
        <w:rPr>
          <w:rFonts w:eastAsiaTheme="minorEastAsia"/>
          <w:lang w:eastAsia="zh-CN"/>
        </w:rPr>
        <w:t xml:space="preserve">n physical layer, actual TCI switching is </w:t>
      </w:r>
      <w:r w:rsidR="00E413BB" w:rsidRPr="00D23483">
        <w:rPr>
          <w:rFonts w:eastAsiaTheme="minorEastAsia"/>
          <w:lang w:eastAsia="zh-CN"/>
        </w:rPr>
        <w:t xml:space="preserve">executed as </w:t>
      </w:r>
      <w:r w:rsidR="00F30E51" w:rsidRPr="00D23483">
        <w:rPr>
          <w:rFonts w:eastAsiaTheme="minorEastAsia"/>
          <w:lang w:eastAsia="zh-CN"/>
        </w:rPr>
        <w:t xml:space="preserve">DL TCI switching or UL TCI switching under Rel-17 </w:t>
      </w:r>
      <w:r w:rsidR="00F30E51" w:rsidRPr="00D23483">
        <w:rPr>
          <w:rFonts w:eastAsia="Calibri" w:cs="Times New Roman"/>
          <w:szCs w:val="20"/>
        </w:rPr>
        <w:t xml:space="preserve">unified TCI framework. </w:t>
      </w:r>
      <w:r w:rsidR="00F30E51" w:rsidRPr="00D23483">
        <w:rPr>
          <w:rFonts w:eastAsiaTheme="minorEastAsia"/>
          <w:lang w:eastAsia="zh-CN"/>
        </w:rPr>
        <w:t xml:space="preserve"> </w:t>
      </w:r>
    </w:p>
    <w:p w14:paraId="4E47BE07" w14:textId="18C8A5F3" w:rsidR="00C01778" w:rsidRPr="00D23483" w:rsidRDefault="00D20F16" w:rsidP="006E10FA">
      <w:pPr>
        <w:ind w:right="-22"/>
        <w:rPr>
          <w:rFonts w:eastAsia="Calibri" w:cs="Times New Roman"/>
          <w:szCs w:val="20"/>
        </w:rPr>
      </w:pPr>
      <w:r w:rsidRPr="00D23483">
        <w:rPr>
          <w:rFonts w:eastAsia="Calibri" w:cs="Times New Roman"/>
          <w:b/>
          <w:bCs/>
          <w:szCs w:val="20"/>
        </w:rPr>
        <w:t xml:space="preserve">Proposal </w:t>
      </w:r>
      <w:r w:rsidR="00DE0B74" w:rsidRPr="00D23483">
        <w:rPr>
          <w:rFonts w:eastAsia="Calibri" w:cs="Times New Roman"/>
          <w:b/>
          <w:bCs/>
          <w:szCs w:val="20"/>
        </w:rPr>
        <w:t>1</w:t>
      </w:r>
      <w:r w:rsidRPr="00D23483">
        <w:rPr>
          <w:rFonts w:eastAsia="Calibri" w:cs="Times New Roman"/>
          <w:b/>
          <w:bCs/>
          <w:szCs w:val="20"/>
        </w:rPr>
        <w:t xml:space="preserve"> :</w:t>
      </w:r>
      <w:r w:rsidRPr="00D23483">
        <w:rPr>
          <w:rFonts w:eastAsia="Calibri" w:cs="Times New Roman"/>
          <w:szCs w:val="20"/>
        </w:rPr>
        <w:t xml:space="preserve"> Study on </w:t>
      </w:r>
      <w:r w:rsidR="00F30E51" w:rsidRPr="00D23483">
        <w:rPr>
          <w:rFonts w:eastAsia="Calibri" w:cs="Times New Roman"/>
          <w:szCs w:val="20"/>
        </w:rPr>
        <w:t>DL TCI switching and UL TCI switching requirement</w:t>
      </w:r>
      <w:r w:rsidRPr="00D23483">
        <w:rPr>
          <w:rFonts w:eastAsia="Calibri" w:cs="Times New Roman"/>
          <w:szCs w:val="20"/>
        </w:rPr>
        <w:t>s</w:t>
      </w:r>
      <w:r w:rsidR="00F30E51" w:rsidRPr="00D23483">
        <w:rPr>
          <w:rFonts w:eastAsia="Calibri" w:cs="Times New Roman"/>
          <w:szCs w:val="20"/>
        </w:rPr>
        <w:t xml:space="preserve"> to </w:t>
      </w:r>
      <w:r w:rsidRPr="00D23483">
        <w:rPr>
          <w:rFonts w:eastAsia="Calibri" w:cs="Times New Roman"/>
          <w:szCs w:val="20"/>
        </w:rPr>
        <w:t xml:space="preserve">commonly </w:t>
      </w:r>
      <w:r w:rsidR="00F30E51" w:rsidRPr="00D23483">
        <w:rPr>
          <w:rFonts w:eastAsia="Calibri" w:cs="Times New Roman"/>
          <w:szCs w:val="20"/>
        </w:rPr>
        <w:t>support unified</w:t>
      </w:r>
      <w:r w:rsidR="00E413BB" w:rsidRPr="00D23483">
        <w:rPr>
          <w:rFonts w:eastAsia="Calibri" w:cs="Times New Roman"/>
          <w:szCs w:val="20"/>
        </w:rPr>
        <w:t>/joint/separate</w:t>
      </w:r>
      <w:r w:rsidR="00F30E51" w:rsidRPr="00D23483">
        <w:rPr>
          <w:rFonts w:eastAsia="Calibri" w:cs="Times New Roman"/>
          <w:szCs w:val="20"/>
        </w:rPr>
        <w:t xml:space="preserve"> TCI framework. </w:t>
      </w:r>
    </w:p>
    <w:p w14:paraId="72A2E253" w14:textId="7BF9CDA1" w:rsidR="00BF7CFA" w:rsidRPr="00D23483" w:rsidRDefault="00D20F16" w:rsidP="00297353">
      <w:pPr>
        <w:ind w:right="-22"/>
        <w:rPr>
          <w:rFonts w:eastAsia="Calibri" w:cs="Times New Roman"/>
          <w:szCs w:val="20"/>
        </w:rPr>
      </w:pPr>
      <w:r w:rsidRPr="00D23483">
        <w:rPr>
          <w:rFonts w:eastAsia="Calibri" w:cs="Times New Roman"/>
          <w:b/>
          <w:bCs/>
          <w:szCs w:val="20"/>
        </w:rPr>
        <w:t xml:space="preserve">Proposal </w:t>
      </w:r>
      <w:r w:rsidR="00DE0B74" w:rsidRPr="00D23483">
        <w:rPr>
          <w:rFonts w:eastAsia="Calibri" w:cs="Times New Roman"/>
          <w:b/>
          <w:bCs/>
          <w:szCs w:val="20"/>
        </w:rPr>
        <w:t>2</w:t>
      </w:r>
      <w:r w:rsidRPr="00D23483">
        <w:rPr>
          <w:rFonts w:eastAsia="Calibri" w:cs="Times New Roman"/>
          <w:b/>
          <w:bCs/>
          <w:szCs w:val="20"/>
        </w:rPr>
        <w:t xml:space="preserve"> :</w:t>
      </w:r>
      <w:r w:rsidRPr="00D23483">
        <w:rPr>
          <w:rFonts w:eastAsia="Calibri" w:cs="Times New Roman"/>
          <w:szCs w:val="20"/>
        </w:rPr>
        <w:t xml:space="preserve"> For inter-cell </w:t>
      </w:r>
      <w:proofErr w:type="spellStart"/>
      <w:r w:rsidRPr="00D23483">
        <w:rPr>
          <w:rFonts w:eastAsia="Calibri" w:cs="Times New Roman"/>
          <w:szCs w:val="20"/>
        </w:rPr>
        <w:t>mTRP</w:t>
      </w:r>
      <w:proofErr w:type="spellEnd"/>
      <w:r w:rsidRPr="00D23483">
        <w:rPr>
          <w:rFonts w:eastAsia="Calibri" w:cs="Times New Roman"/>
          <w:szCs w:val="20"/>
        </w:rPr>
        <w:t xml:space="preserve">, UE assumes multiple DCI based switching for </w:t>
      </w:r>
      <w:proofErr w:type="spellStart"/>
      <w:r w:rsidRPr="00D23483">
        <w:rPr>
          <w:rFonts w:eastAsia="Calibri" w:cs="Times New Roman"/>
          <w:szCs w:val="20"/>
        </w:rPr>
        <w:t>mTRP</w:t>
      </w:r>
      <w:proofErr w:type="spellEnd"/>
      <w:r w:rsidRPr="00D23483">
        <w:rPr>
          <w:rFonts w:eastAsia="Calibri" w:cs="Times New Roman"/>
          <w:szCs w:val="20"/>
        </w:rPr>
        <w:t xml:space="preserve">. RAN4 reviews TCI switching impact due to </w:t>
      </w:r>
      <w:r w:rsidR="00297353" w:rsidRPr="00D23483">
        <w:rPr>
          <w:rFonts w:eastAsia="Calibri" w:cs="Times New Roman"/>
          <w:szCs w:val="20"/>
        </w:rPr>
        <w:t>multiple joint / separate TCIs’ for DL and UL.</w:t>
      </w:r>
    </w:p>
    <w:p w14:paraId="2479583F" w14:textId="6C56028E" w:rsidR="00297353" w:rsidRPr="00D23483" w:rsidRDefault="00BF7CFA" w:rsidP="0BE09D0F">
      <w:pPr>
        <w:ind w:right="-22"/>
        <w:rPr>
          <w:rFonts w:eastAsia="Calibri" w:cs="Times New Roman"/>
          <w:szCs w:val="20"/>
        </w:rPr>
      </w:pPr>
      <w:r w:rsidRPr="00D23483">
        <w:rPr>
          <w:rFonts w:eastAsia="Calibri" w:cs="Times New Roman"/>
          <w:szCs w:val="20"/>
        </w:rPr>
        <w:lastRenderedPageBreak/>
        <w:t xml:space="preserve">          Option 1 : multiple TCI switching is assumed to be independent, hence a single TCI requirement </w:t>
      </w:r>
      <w:r w:rsidR="29B3067E" w:rsidRPr="0BE09D0F">
        <w:rPr>
          <w:rFonts w:eastAsia="Calibri" w:cs="Times New Roman"/>
        </w:rPr>
        <w:t>is</w:t>
      </w:r>
      <w:r w:rsidRPr="00D23483">
        <w:rPr>
          <w:rFonts w:eastAsia="Calibri" w:cs="Times New Roman"/>
          <w:szCs w:val="20"/>
        </w:rPr>
        <w:t xml:space="preserve"> applied independently. </w:t>
      </w:r>
      <w:r w:rsidRPr="00D23483">
        <w:rPr>
          <w:rFonts w:eastAsia="Calibri" w:cs="Times New Roman"/>
          <w:szCs w:val="20"/>
        </w:rPr>
        <w:br/>
        <w:t xml:space="preserve">          Option 2 : multiple TCI switching is assumed to be dependent, and </w:t>
      </w:r>
      <w:r w:rsidR="644550A6" w:rsidRPr="00D23483">
        <w:rPr>
          <w:rFonts w:eastAsia="Calibri" w:cs="Times New Roman"/>
          <w:szCs w:val="20"/>
        </w:rPr>
        <w:t>new requirements</w:t>
      </w:r>
      <w:r w:rsidRPr="00D23483">
        <w:rPr>
          <w:rFonts w:eastAsia="Calibri" w:cs="Times New Roman"/>
          <w:szCs w:val="20"/>
        </w:rPr>
        <w:t xml:space="preserve"> are considered for multiple TCI switching.</w:t>
      </w:r>
      <w:r>
        <w:rPr>
          <w:rFonts w:eastAsia="Calibri" w:cs="Times New Roman"/>
          <w:szCs w:val="20"/>
        </w:rPr>
        <w:br/>
      </w:r>
      <w:r w:rsidR="00297353">
        <w:rPr>
          <w:rFonts w:eastAsia="Calibri" w:cs="Times New Roman"/>
          <w:szCs w:val="20"/>
        </w:rPr>
        <w:t>.</w:t>
      </w:r>
    </w:p>
    <w:p w14:paraId="29DD1D4C" w14:textId="77777777" w:rsidR="00242852" w:rsidRPr="00D23483" w:rsidRDefault="00242852" w:rsidP="00D23483">
      <w:pPr>
        <w:ind w:right="-22"/>
        <w:rPr>
          <w:rFonts w:eastAsia="Calibri" w:cs="Times New Roman"/>
          <w:szCs w:val="20"/>
        </w:rPr>
      </w:pPr>
    </w:p>
    <w:p w14:paraId="5E4CAC6E" w14:textId="5D771742" w:rsidR="007931C2" w:rsidRPr="00D33FFC" w:rsidRDefault="007931C2" w:rsidP="004B77F2">
      <w:pPr>
        <w:pStyle w:val="RAN4H2"/>
      </w:pPr>
      <w:r w:rsidRPr="00D33FFC">
        <w:t>TCI state switching delay</w:t>
      </w:r>
      <w:r w:rsidR="0029021A" w:rsidRPr="00D33FFC">
        <w:t xml:space="preserve"> requirement</w:t>
      </w:r>
      <w:r w:rsidR="00413442" w:rsidRPr="00D33FFC">
        <w:t xml:space="preserve"> </w:t>
      </w:r>
      <w:r w:rsidR="004B77F2">
        <w:t>for</w:t>
      </w:r>
      <w:r w:rsidR="00413442" w:rsidRPr="00D33FFC">
        <w:t xml:space="preserve"> Unified TCI framework</w:t>
      </w:r>
    </w:p>
    <w:p w14:paraId="4B33184B" w14:textId="0A231416" w:rsidR="0023766D" w:rsidRPr="00D33FFC" w:rsidRDefault="00A24845" w:rsidP="006E10FA">
      <w:pPr>
        <w:ind w:right="-22"/>
        <w:rPr>
          <w:rFonts w:eastAsia="Calibri" w:cs="Times New Roman"/>
          <w:szCs w:val="20"/>
          <w:lang w:val="en-GB"/>
        </w:rPr>
      </w:pPr>
      <w:r w:rsidRPr="00D33FFC">
        <w:rPr>
          <w:rFonts w:eastAsia="Calibri" w:cs="Times New Roman"/>
          <w:lang w:val="en-GB"/>
        </w:rPr>
        <w:t xml:space="preserve">We studied the scope and function of unified TCI above, and then we discuss impacts to RRM requirement. </w:t>
      </w:r>
      <w:r w:rsidR="007931C2" w:rsidRPr="00D33FFC">
        <w:rPr>
          <w:rFonts w:eastAsia="Calibri" w:cs="Times New Roman"/>
          <w:lang w:val="en-GB"/>
        </w:rPr>
        <w:t>TS38.133 section</w:t>
      </w:r>
      <w:r w:rsidRPr="00D33FFC">
        <w:rPr>
          <w:rFonts w:eastAsia="Calibri" w:cs="Times New Roman"/>
          <w:lang w:val="en-GB"/>
        </w:rPr>
        <w:t xml:space="preserve"> 8</w:t>
      </w:r>
      <w:r w:rsidR="007931C2" w:rsidRPr="00D33FFC">
        <w:rPr>
          <w:rFonts w:eastAsia="Calibri" w:cs="Times New Roman"/>
          <w:lang w:val="en-GB"/>
        </w:rPr>
        <w:t xml:space="preserve">.10 defines active TCI state switching delay on serving cell. A UE shall complete the switching of active TCI state within the specified switching delay on the serving cell TCI indication. </w:t>
      </w:r>
      <w:r w:rsidR="00612499" w:rsidRPr="00D33FFC">
        <w:rPr>
          <w:rFonts w:eastAsia="Calibri" w:cs="Times New Roman"/>
          <w:lang w:val="en-GB"/>
        </w:rPr>
        <w:t>Three kinds of signalling with DCI/MAC-CE/RRC indications are respectively listed for the TCI state switching delay.</w:t>
      </w:r>
    </w:p>
    <w:p w14:paraId="350FE2D5" w14:textId="76E6FAF3" w:rsidR="7EFF9B18" w:rsidRPr="00D33FFC" w:rsidRDefault="7EFF9B18" w:rsidP="096AC699">
      <w:pPr>
        <w:ind w:left="720" w:right="-22"/>
        <w:rPr>
          <w:rFonts w:eastAsia="Calibri" w:cs="Times New Roman"/>
        </w:rPr>
      </w:pPr>
      <w:r w:rsidRPr="00D33FFC">
        <w:rPr>
          <w:rFonts w:eastAsia="Calibri" w:cs="Times New Roman"/>
          <w:b/>
          <w:bCs/>
        </w:rPr>
        <w:t>TS38.133    8.10 Active TCI state switching delay</w:t>
      </w:r>
      <w:r w:rsidRPr="00D33FFC">
        <w:br/>
      </w:r>
      <w:r w:rsidRPr="00D33FFC">
        <w:tab/>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8.10.3. MAC-CE based TCI state switch delay</w:t>
      </w:r>
      <w:r w:rsidRPr="00D33FFC">
        <w:br/>
      </w:r>
      <w:r w:rsidRPr="00D33FFC">
        <w:tab/>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 xml:space="preserve"> 8.10.4. DCI based TCI state switch delay</w:t>
      </w:r>
      <w:r w:rsidRPr="00D33FFC">
        <w:br/>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 xml:space="preserve"> </w:t>
      </w:r>
      <w:r w:rsidR="00084AFD" w:rsidRPr="00D33FFC">
        <w:rPr>
          <w:rFonts w:eastAsia="Calibri" w:cs="Times New Roman"/>
        </w:rPr>
        <w:t xml:space="preserve">  </w:t>
      </w:r>
      <w:r w:rsidRPr="00D33FFC">
        <w:rPr>
          <w:rFonts w:eastAsia="Calibri" w:cs="Times New Roman"/>
        </w:rPr>
        <w:t>8.10.5. RRC based TCI state switch delay</w:t>
      </w:r>
    </w:p>
    <w:p w14:paraId="58F9FD98" w14:textId="2019FD7A" w:rsidR="00C908D5" w:rsidRDefault="00AC0BBF" w:rsidP="00AC0BBF">
      <w:pPr>
        <w:ind w:right="-22"/>
        <w:rPr>
          <w:rFonts w:eastAsia="Calibri" w:cs="Times New Roman"/>
          <w:szCs w:val="20"/>
        </w:rPr>
      </w:pPr>
      <w:r w:rsidRPr="00D33FFC">
        <w:rPr>
          <w:rFonts w:eastAsia="Calibri" w:cs="Times New Roman"/>
          <w:szCs w:val="20"/>
        </w:rPr>
        <w:t xml:space="preserve">Firstly, RAN4 needs to study whether the TCI state delay requirements can be applicable to the unified TCI switching to non-serving cell. The Rel-17 unified TCI utilizes both MAC-CE and DCI, new requirements may be needed for switching to non-serving cell. </w:t>
      </w:r>
      <w:r w:rsidR="003D0B9B" w:rsidRPr="00D33FFC">
        <w:rPr>
          <w:rFonts w:eastAsia="Calibri" w:cs="Times New Roman"/>
          <w:szCs w:val="20"/>
        </w:rPr>
        <w:t xml:space="preserve"> </w:t>
      </w:r>
      <w:r w:rsidR="00084AFD" w:rsidRPr="00D33FFC">
        <w:rPr>
          <w:rFonts w:eastAsia="Calibri" w:cs="Times New Roman"/>
          <w:szCs w:val="20"/>
        </w:rPr>
        <w:t>We propose</w:t>
      </w:r>
      <w:r w:rsidRPr="00D33FFC">
        <w:rPr>
          <w:rFonts w:eastAsia="Calibri" w:cs="Times New Roman"/>
          <w:szCs w:val="20"/>
        </w:rPr>
        <w:t xml:space="preserve"> </w:t>
      </w:r>
      <w:r w:rsidR="00084AFD" w:rsidRPr="00D33FFC">
        <w:rPr>
          <w:rFonts w:eastAsia="Calibri" w:cs="Times New Roman"/>
          <w:szCs w:val="20"/>
        </w:rPr>
        <w:t>to s</w:t>
      </w:r>
      <w:r w:rsidRPr="00D33FFC">
        <w:rPr>
          <w:rFonts w:eastAsia="Calibri" w:cs="Times New Roman"/>
          <w:szCs w:val="20"/>
        </w:rPr>
        <w:t>tudy whether the current active TCI state switching delay requirement can be applicable</w:t>
      </w:r>
      <w:r w:rsidR="00C908D5" w:rsidRPr="00D33FFC">
        <w:rPr>
          <w:rFonts w:eastAsia="Calibri" w:cs="Times New Roman"/>
          <w:szCs w:val="20"/>
        </w:rPr>
        <w:t xml:space="preserve"> to non-serving cell</w:t>
      </w:r>
      <w:r w:rsidR="004E71B1" w:rsidRPr="00D33FFC">
        <w:rPr>
          <w:rFonts w:eastAsia="Calibri" w:cs="Times New Roman"/>
          <w:szCs w:val="20"/>
        </w:rPr>
        <w:t xml:space="preserve"> in Rel-17 unified TCI framework</w:t>
      </w:r>
      <w:r w:rsidR="00C908D5" w:rsidRPr="00D33FFC">
        <w:rPr>
          <w:rFonts w:eastAsia="Calibri" w:cs="Times New Roman"/>
          <w:szCs w:val="20"/>
        </w:rPr>
        <w:t xml:space="preserve"> </w:t>
      </w:r>
      <w:r w:rsidR="004E71B1" w:rsidRPr="00D33FFC">
        <w:rPr>
          <w:rFonts w:eastAsia="Calibri" w:cs="Times New Roman"/>
          <w:szCs w:val="20"/>
        </w:rPr>
        <w:t>.</w:t>
      </w:r>
      <w:r w:rsidRPr="00D33FFC">
        <w:rPr>
          <w:rFonts w:eastAsia="Calibri" w:cs="Times New Roman"/>
          <w:szCs w:val="20"/>
        </w:rPr>
        <w:t xml:space="preserve"> </w:t>
      </w:r>
    </w:p>
    <w:p w14:paraId="6B903535" w14:textId="77777777" w:rsidR="00527217" w:rsidRDefault="00527217" w:rsidP="00527217">
      <w:pPr>
        <w:rPr>
          <w:lang w:val="en-GB"/>
        </w:rPr>
      </w:pPr>
      <w:r>
        <w:rPr>
          <w:lang w:val="en-GB"/>
        </w:rPr>
        <w:t>Non-serving cell existence and cell configuration is always known to a UE in inter-cell scenario. How to configure the known non-serving cell is FFS. RAN4 waits for RAN1/2 input regarding signalling.</w:t>
      </w:r>
    </w:p>
    <w:tbl>
      <w:tblPr>
        <w:tblStyle w:val="TableGrid"/>
        <w:tblW w:w="0" w:type="auto"/>
        <w:tblLook w:val="04A0" w:firstRow="1" w:lastRow="0" w:firstColumn="1" w:lastColumn="0" w:noHBand="0" w:noVBand="1"/>
      </w:tblPr>
      <w:tblGrid>
        <w:gridCol w:w="9062"/>
      </w:tblGrid>
      <w:tr w:rsidR="00527217" w14:paraId="1B47A3A4" w14:textId="77777777" w:rsidTr="005D17B7">
        <w:tc>
          <w:tcPr>
            <w:tcW w:w="9062" w:type="dxa"/>
          </w:tcPr>
          <w:p w14:paraId="6C362238" w14:textId="77777777" w:rsidR="00527217" w:rsidRPr="000533FF" w:rsidRDefault="00527217" w:rsidP="005D17B7">
            <w:pPr>
              <w:spacing w:after="120" w:line="252" w:lineRule="auto"/>
              <w:rPr>
                <w:rFonts w:eastAsia="Calibri"/>
              </w:rPr>
            </w:pPr>
            <w:r w:rsidRPr="000533FF">
              <w:rPr>
                <w:rFonts w:eastAsia="Calibri"/>
                <w:highlight w:val="green"/>
              </w:rPr>
              <w:t>RAN4#100 agreement</w:t>
            </w:r>
          </w:p>
          <w:p w14:paraId="73CBAC1C" w14:textId="77777777" w:rsidR="00527217" w:rsidRDefault="00527217" w:rsidP="005D17B7">
            <w:pPr>
              <w:pStyle w:val="ListParagraph"/>
              <w:numPr>
                <w:ilvl w:val="0"/>
                <w:numId w:val="29"/>
              </w:numPr>
              <w:spacing w:after="120" w:line="252" w:lineRule="auto"/>
              <w:contextualSpacing w:val="0"/>
              <w:rPr>
                <w:rFonts w:eastAsia="Calibri"/>
              </w:rPr>
            </w:pPr>
            <w:r>
              <w:rPr>
                <w:rFonts w:eastAsia="Calibri"/>
              </w:rPr>
              <w:t xml:space="preserve">RAN4 will further study if </w:t>
            </w:r>
            <w:r w:rsidRPr="00530CA0">
              <w:rPr>
                <w:rFonts w:eastAsia="Calibri"/>
              </w:rPr>
              <w:t xml:space="preserve">UE only performs L1-RSRP measurements on the identified non-serving cell(s) </w:t>
            </w:r>
          </w:p>
          <w:p w14:paraId="6796B26B" w14:textId="77777777" w:rsidR="00527217" w:rsidRDefault="00527217" w:rsidP="005D17B7">
            <w:pPr>
              <w:ind w:right="-22"/>
              <w:rPr>
                <w:rFonts w:eastAsia="Calibri" w:cs="Times New Roman"/>
                <w:szCs w:val="20"/>
              </w:rPr>
            </w:pPr>
          </w:p>
        </w:tc>
      </w:tr>
    </w:tbl>
    <w:p w14:paraId="62AEEFE5" w14:textId="29CBD765" w:rsidR="00527217" w:rsidRDefault="00527217" w:rsidP="00AC0BBF">
      <w:pPr>
        <w:ind w:right="-22"/>
        <w:rPr>
          <w:rFonts w:eastAsia="Calibri" w:cs="Times New Roman"/>
          <w:szCs w:val="20"/>
        </w:rPr>
      </w:pPr>
    </w:p>
    <w:p w14:paraId="52FC13C5" w14:textId="77777777" w:rsidR="00527217" w:rsidRDefault="00527217" w:rsidP="00527217"/>
    <w:p w14:paraId="2B8F3B78" w14:textId="142BF59F" w:rsidR="00527217" w:rsidRPr="00D23483" w:rsidRDefault="00527217" w:rsidP="00527217">
      <w:r w:rsidRPr="00D23483">
        <w:rPr>
          <w:b/>
          <w:bCs/>
        </w:rPr>
        <w:t xml:space="preserve">Observation </w:t>
      </w:r>
      <w:r w:rsidR="00DE0B74" w:rsidRPr="00D23483">
        <w:rPr>
          <w:b/>
          <w:bCs/>
        </w:rPr>
        <w:t xml:space="preserve">3 </w:t>
      </w:r>
      <w:r w:rsidRPr="00D23483">
        <w:rPr>
          <w:b/>
          <w:bCs/>
        </w:rPr>
        <w:t>:</w:t>
      </w:r>
      <w:r w:rsidRPr="00D23483">
        <w:t xml:space="preserve"> </w:t>
      </w:r>
      <w:r w:rsidRPr="00D23483">
        <w:rPr>
          <w:lang w:val="en-GB"/>
        </w:rPr>
        <w:t>Non-serving cell existence and cell configuration is always known to a UE</w:t>
      </w:r>
      <w:r w:rsidR="00C7772E" w:rsidRPr="00D23483">
        <w:rPr>
          <w:lang w:val="en-GB"/>
        </w:rPr>
        <w:t xml:space="preserve"> for TCI switching</w:t>
      </w:r>
      <w:r w:rsidRPr="00D23483">
        <w:rPr>
          <w:lang w:val="en-GB"/>
        </w:rPr>
        <w:t xml:space="preserve">. </w:t>
      </w:r>
    </w:p>
    <w:p w14:paraId="0131FCEA" w14:textId="757A8E87" w:rsidR="00C7772E" w:rsidRPr="00D23483" w:rsidRDefault="00C7772E" w:rsidP="00C7772E">
      <w:pPr>
        <w:ind w:right="-22"/>
        <w:rPr>
          <w:rFonts w:eastAsia="Calibri" w:cs="Times New Roman"/>
          <w:szCs w:val="20"/>
          <w:lang w:val="en-GB"/>
        </w:rPr>
      </w:pPr>
      <w:r w:rsidRPr="00D23483">
        <w:rPr>
          <w:rFonts w:eastAsia="Calibri" w:cs="Times New Roman"/>
          <w:b/>
          <w:bCs/>
          <w:szCs w:val="20"/>
          <w:lang w:val="en-GB"/>
        </w:rPr>
        <w:t xml:space="preserve">Proposal </w:t>
      </w:r>
      <w:r w:rsidR="00DE0B74" w:rsidRPr="00D23483">
        <w:rPr>
          <w:rFonts w:eastAsia="Calibri" w:cs="Times New Roman"/>
          <w:b/>
          <w:bCs/>
          <w:szCs w:val="20"/>
          <w:lang w:val="en-GB"/>
        </w:rPr>
        <w:t>3</w:t>
      </w:r>
      <w:r w:rsidRPr="00D23483">
        <w:rPr>
          <w:rFonts w:eastAsia="Calibri" w:cs="Times New Roman"/>
          <w:b/>
          <w:bCs/>
          <w:szCs w:val="20"/>
          <w:lang w:val="en-GB"/>
        </w:rPr>
        <w:t xml:space="preserve"> :</w:t>
      </w:r>
      <w:r w:rsidRPr="00D23483">
        <w:rPr>
          <w:rFonts w:eastAsia="Calibri" w:cs="Times New Roman"/>
          <w:szCs w:val="20"/>
          <w:lang w:val="en-GB"/>
        </w:rPr>
        <w:t xml:space="preserve"> If non-serving cell is known by pre-configuration, </w:t>
      </w:r>
      <w:r w:rsidR="00DE0B74" w:rsidRPr="00D23483">
        <w:rPr>
          <w:rFonts w:eastAsia="Calibri" w:cs="Times New Roman"/>
          <w:szCs w:val="20"/>
          <w:lang w:val="en-GB"/>
        </w:rPr>
        <w:t xml:space="preserve">RAN4 reviews if </w:t>
      </w:r>
      <w:r w:rsidRPr="00D23483">
        <w:rPr>
          <w:rFonts w:eastAsia="Calibri" w:cs="Times New Roman"/>
          <w:szCs w:val="20"/>
          <w:lang w:val="en-GB"/>
        </w:rPr>
        <w:t xml:space="preserve">TCI switching delay requirement for the serving cell is applicable to TCI switching to non-serving cell. </w:t>
      </w:r>
    </w:p>
    <w:p w14:paraId="20888C55" w14:textId="17589DA5" w:rsidR="00527217" w:rsidRPr="00D23483" w:rsidRDefault="00527217" w:rsidP="00527217">
      <w:pPr>
        <w:spacing w:after="120" w:line="252" w:lineRule="auto"/>
      </w:pPr>
      <w:r w:rsidRPr="00D23483">
        <w:rPr>
          <w:rFonts w:eastAsia="Calibri"/>
          <w:b/>
          <w:bCs/>
        </w:rPr>
        <w:t xml:space="preserve">Proposal </w:t>
      </w:r>
      <w:r w:rsidR="00DE0B74" w:rsidRPr="00D23483">
        <w:rPr>
          <w:rFonts w:eastAsia="Calibri"/>
          <w:b/>
          <w:bCs/>
        </w:rPr>
        <w:t xml:space="preserve">4 </w:t>
      </w:r>
      <w:r w:rsidRPr="00D23483">
        <w:rPr>
          <w:rFonts w:eastAsia="Calibri"/>
          <w:b/>
          <w:bCs/>
        </w:rPr>
        <w:t>:</w:t>
      </w:r>
      <w:r w:rsidRPr="00D23483">
        <w:rPr>
          <w:rFonts w:eastAsia="Calibri"/>
        </w:rPr>
        <w:t xml:space="preserve"> </w:t>
      </w:r>
      <w:r w:rsidRPr="00D23483">
        <w:t>RAN4 studies to specify on conditions of “identified non-serving cell(s)” status for TCI state switching to the non-serving cell(s)</w:t>
      </w:r>
    </w:p>
    <w:p w14:paraId="317C6A07" w14:textId="6FD48F42" w:rsidR="00527217" w:rsidRPr="00D23483" w:rsidRDefault="00527217" w:rsidP="00527217">
      <w:pPr>
        <w:pStyle w:val="ListParagraph"/>
        <w:numPr>
          <w:ilvl w:val="0"/>
          <w:numId w:val="31"/>
        </w:numPr>
        <w:spacing w:after="120" w:line="252" w:lineRule="auto"/>
        <w:rPr>
          <w:rFonts w:eastAsia="Calibri"/>
        </w:rPr>
      </w:pPr>
      <w:r w:rsidRPr="00D23483">
        <w:rPr>
          <w:rFonts w:eastAsia="Calibri"/>
        </w:rPr>
        <w:t>A baseline assumption is if a UE is configured of “non-serving cell” element and</w:t>
      </w:r>
      <w:r w:rsidR="00DE0B74" w:rsidRPr="00D23483">
        <w:rPr>
          <w:rFonts w:eastAsia="Calibri"/>
        </w:rPr>
        <w:t>/or</w:t>
      </w:r>
      <w:r w:rsidRPr="00D23483">
        <w:rPr>
          <w:rFonts w:eastAsia="Calibri"/>
        </w:rPr>
        <w:t xml:space="preserve"> if a UE can perform cell detection successfully (i.e. decoding PBCH) of the non-serving cell.</w:t>
      </w:r>
    </w:p>
    <w:p w14:paraId="0CFC5D85" w14:textId="2D1EBB44" w:rsidR="00527217" w:rsidRPr="00D23483" w:rsidRDefault="00527217" w:rsidP="00527217">
      <w:pPr>
        <w:pStyle w:val="ListParagraph"/>
        <w:numPr>
          <w:ilvl w:val="0"/>
          <w:numId w:val="31"/>
        </w:numPr>
        <w:spacing w:after="120" w:line="252" w:lineRule="auto"/>
        <w:rPr>
          <w:rFonts w:eastAsia="Calibri"/>
        </w:rPr>
      </w:pPr>
      <w:r w:rsidRPr="00D23483">
        <w:rPr>
          <w:rFonts w:eastAsia="Calibri"/>
        </w:rPr>
        <w:t>Other conditions can be also considered such as L3 -RSRP, quality of signal, RLM and QCL relation.</w:t>
      </w:r>
    </w:p>
    <w:p w14:paraId="5299327B" w14:textId="77777777" w:rsidR="00FD27F6" w:rsidRDefault="00FD27F6" w:rsidP="00AC0BBF">
      <w:pPr>
        <w:ind w:right="-22"/>
        <w:rPr>
          <w:rFonts w:eastAsia="Calibri" w:cs="Times New Roman"/>
          <w:szCs w:val="20"/>
        </w:rPr>
      </w:pPr>
    </w:p>
    <w:p w14:paraId="1D0BBC6C" w14:textId="205F4C83" w:rsidR="00DC1138" w:rsidRDefault="00DC1138" w:rsidP="00D23483">
      <w:pPr>
        <w:autoSpaceDE w:val="0"/>
        <w:autoSpaceDN w:val="0"/>
        <w:adjustRightInd w:val="0"/>
        <w:rPr>
          <w:rFonts w:eastAsia="Calibri" w:cs="Times New Roman"/>
          <w:szCs w:val="20"/>
        </w:rPr>
      </w:pPr>
      <w:r>
        <w:rPr>
          <w:rFonts w:eastAsia="Calibri" w:cs="Times New Roman"/>
          <w:szCs w:val="20"/>
        </w:rPr>
        <w:t>If a non-serving cell is known, Discussion on k</w:t>
      </w:r>
      <w:r w:rsidRPr="00D23483">
        <w:rPr>
          <w:rFonts w:eastAsia="Calibri" w:cs="Times New Roman"/>
          <w:szCs w:val="20"/>
        </w:rPr>
        <w:t>nown conditions for TCI state</w:t>
      </w:r>
      <w:r>
        <w:rPr>
          <w:rFonts w:eastAsia="Calibri" w:cs="Times New Roman"/>
          <w:szCs w:val="20"/>
        </w:rPr>
        <w:t xml:space="preserve"> is needed to apply </w:t>
      </w:r>
      <w:r w:rsidRPr="00D23483">
        <w:rPr>
          <w:rFonts w:eastAsia="Calibri" w:cs="Times New Roman"/>
          <w:szCs w:val="20"/>
        </w:rPr>
        <w:t xml:space="preserve">8.10 </w:t>
      </w:r>
      <w:r w:rsidRPr="00DC1138">
        <w:rPr>
          <w:rFonts w:eastAsia="Calibri" w:cs="Times New Roman"/>
          <w:szCs w:val="20"/>
        </w:rPr>
        <w:t xml:space="preserve">clause for a UE configured with one or more TCI state on </w:t>
      </w:r>
      <w:r>
        <w:rPr>
          <w:rFonts w:eastAsia="Calibri" w:cs="Times New Roman"/>
          <w:szCs w:val="20"/>
        </w:rPr>
        <w:t>non-</w:t>
      </w:r>
      <w:r w:rsidRPr="00DC1138">
        <w:rPr>
          <w:rFonts w:eastAsia="Calibri" w:cs="Times New Roman"/>
          <w:szCs w:val="20"/>
        </w:rPr>
        <w:t>serving cell.</w:t>
      </w:r>
      <w:r>
        <w:rPr>
          <w:rFonts w:eastAsia="Calibri" w:cs="Times New Roman"/>
          <w:szCs w:val="20"/>
        </w:rPr>
        <w:t xml:space="preserve"> The TS38.133 specifies k</w:t>
      </w:r>
      <w:r w:rsidRPr="00DC1138">
        <w:rPr>
          <w:rFonts w:eastAsia="Calibri" w:cs="Times New Roman"/>
          <w:szCs w:val="20"/>
        </w:rPr>
        <w:t>nown conditions for TCI state</w:t>
      </w:r>
      <w:r>
        <w:rPr>
          <w:rFonts w:eastAsia="Calibri" w:cs="Times New Roman"/>
          <w:szCs w:val="20"/>
        </w:rPr>
        <w:t xml:space="preserve"> as </w:t>
      </w:r>
    </w:p>
    <w:tbl>
      <w:tblPr>
        <w:tblStyle w:val="TableGrid"/>
        <w:tblW w:w="0" w:type="auto"/>
        <w:tblLook w:val="04A0" w:firstRow="1" w:lastRow="0" w:firstColumn="1" w:lastColumn="0" w:noHBand="0" w:noVBand="1"/>
      </w:tblPr>
      <w:tblGrid>
        <w:gridCol w:w="9062"/>
      </w:tblGrid>
      <w:tr w:rsidR="005508D0" w14:paraId="1E387D0E" w14:textId="77777777" w:rsidTr="005508D0">
        <w:tc>
          <w:tcPr>
            <w:tcW w:w="9062" w:type="dxa"/>
          </w:tcPr>
          <w:p w14:paraId="427268BA" w14:textId="32728A79" w:rsidR="005508D0" w:rsidRPr="00D23483" w:rsidRDefault="005508D0" w:rsidP="005508D0">
            <w:pPr>
              <w:autoSpaceDE w:val="0"/>
              <w:autoSpaceDN w:val="0"/>
              <w:adjustRightInd w:val="0"/>
              <w:rPr>
                <w:rFonts w:ascii="Arial" w:eastAsiaTheme="minorEastAsia" w:hAnsi="Arial" w:cs="Arial"/>
                <w:b/>
                <w:bCs/>
                <w:szCs w:val="20"/>
                <w:lang w:eastAsia="ko-KR"/>
              </w:rPr>
            </w:pPr>
            <w:r w:rsidRPr="00D23483">
              <w:rPr>
                <w:rFonts w:ascii="Arial" w:eastAsiaTheme="minorEastAsia" w:hAnsi="Arial" w:cs="Arial"/>
                <w:b/>
                <w:bCs/>
                <w:szCs w:val="20"/>
                <w:lang w:eastAsia="ko-KR"/>
              </w:rPr>
              <w:t>TS38.133 8.10.2 Known conditions for TCI state</w:t>
            </w:r>
          </w:p>
          <w:p w14:paraId="3A2881B6" w14:textId="77777777" w:rsidR="005508D0" w:rsidRDefault="005508D0" w:rsidP="005508D0">
            <w:pPr>
              <w:autoSpaceDE w:val="0"/>
              <w:autoSpaceDN w:val="0"/>
              <w:adjustRightInd w:val="0"/>
              <w:rPr>
                <w:rFonts w:eastAsiaTheme="minorEastAsia" w:cs="Times New Roman"/>
                <w:szCs w:val="20"/>
                <w:lang w:eastAsia="ko-KR"/>
              </w:rPr>
            </w:pPr>
            <w:r>
              <w:rPr>
                <w:rFonts w:eastAsiaTheme="minorEastAsia" w:cs="Times New Roman"/>
                <w:szCs w:val="20"/>
                <w:lang w:eastAsia="ko-KR"/>
              </w:rPr>
              <w:t>The TCI state is known if the following conditions are met:</w:t>
            </w:r>
          </w:p>
          <w:p w14:paraId="40CE0B76" w14:textId="7D6FE464" w:rsidR="005508D0" w:rsidRDefault="005508D0" w:rsidP="005508D0">
            <w:pPr>
              <w:autoSpaceDE w:val="0"/>
              <w:autoSpaceDN w:val="0"/>
              <w:adjustRightInd w:val="0"/>
              <w:rPr>
                <w:rFonts w:eastAsiaTheme="minorEastAsia" w:cs="Times New Roman"/>
                <w:szCs w:val="20"/>
                <w:lang w:eastAsia="ko-KR"/>
              </w:rPr>
            </w:pPr>
            <w:r>
              <w:rPr>
                <w:rFonts w:eastAsiaTheme="minorEastAsia" w:cs="Times New Roman"/>
                <w:szCs w:val="20"/>
                <w:lang w:eastAsia="ko-KR"/>
              </w:rPr>
              <w:lastRenderedPageBreak/>
              <w:t xml:space="preserve">- 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rFonts w:eastAsiaTheme="minorEastAsia" w:cs="Times New Roman"/>
                <w:szCs w:val="20"/>
                <w:lang w:eastAsia="ko-KR"/>
              </w:rPr>
              <w:t>QCLed</w:t>
            </w:r>
            <w:proofErr w:type="spellEnd"/>
            <w:r>
              <w:rPr>
                <w:rFonts w:eastAsiaTheme="minorEastAsia" w:cs="Times New Roman"/>
                <w:szCs w:val="20"/>
                <w:lang w:eastAsia="ko-KR"/>
              </w:rPr>
              <w:t xml:space="preserve"> to the target TCI state :</w:t>
            </w:r>
          </w:p>
          <w:p w14:paraId="732CB9FC" w14:textId="77777777" w:rsidR="005508D0" w:rsidRDefault="005508D0" w:rsidP="005508D0">
            <w:pPr>
              <w:autoSpaceDE w:val="0"/>
              <w:autoSpaceDN w:val="0"/>
              <w:adjustRightInd w:val="0"/>
              <w:rPr>
                <w:rFonts w:eastAsiaTheme="minorEastAsia" w:cs="Times New Roman"/>
                <w:szCs w:val="20"/>
                <w:lang w:eastAsia="ko-KR"/>
              </w:rPr>
            </w:pPr>
          </w:p>
          <w:p w14:paraId="33DBEAD7" w14:textId="3B062880" w:rsidR="005508D0" w:rsidRDefault="005508D0" w:rsidP="00D23483">
            <w:pPr>
              <w:autoSpaceDE w:val="0"/>
              <w:autoSpaceDN w:val="0"/>
              <w:adjustRightInd w:val="0"/>
              <w:ind w:left="720"/>
              <w:rPr>
                <w:rFonts w:eastAsiaTheme="minorEastAsia" w:cs="Times New Roman"/>
                <w:szCs w:val="20"/>
                <w:lang w:eastAsia="ko-KR"/>
              </w:rPr>
            </w:pPr>
            <w:r>
              <w:rPr>
                <w:rFonts w:eastAsiaTheme="minorEastAsia" w:cs="Times New Roman"/>
                <w:szCs w:val="20"/>
                <w:lang w:eastAsia="ko-KR"/>
              </w:rPr>
              <w:t xml:space="preserve">- TCI state switch command is received within 1280 </w:t>
            </w:r>
            <w:proofErr w:type="spellStart"/>
            <w:r>
              <w:rPr>
                <w:rFonts w:eastAsiaTheme="minorEastAsia" w:cs="Times New Roman"/>
                <w:szCs w:val="20"/>
                <w:lang w:eastAsia="ko-KR"/>
              </w:rPr>
              <w:t>ms</w:t>
            </w:r>
            <w:proofErr w:type="spellEnd"/>
            <w:r>
              <w:rPr>
                <w:rFonts w:eastAsiaTheme="minorEastAsia" w:cs="Times New Roman"/>
                <w:szCs w:val="20"/>
                <w:lang w:eastAsia="ko-KR"/>
              </w:rPr>
              <w:t xml:space="preserve"> upon the last transmission of the RS resource for beam</w:t>
            </w:r>
            <w:r w:rsidR="006D4907">
              <w:rPr>
                <w:rFonts w:eastAsiaTheme="minorEastAsia" w:cs="Times New Roman"/>
                <w:szCs w:val="20"/>
                <w:lang w:eastAsia="ko-KR"/>
              </w:rPr>
              <w:t xml:space="preserve"> </w:t>
            </w:r>
            <w:r>
              <w:rPr>
                <w:rFonts w:eastAsiaTheme="minorEastAsia" w:cs="Times New Roman"/>
                <w:szCs w:val="20"/>
                <w:lang w:eastAsia="ko-KR"/>
              </w:rPr>
              <w:t>reporting or measurement</w:t>
            </w:r>
          </w:p>
          <w:p w14:paraId="16CCFC1F" w14:textId="77777777" w:rsidR="005508D0" w:rsidRDefault="005508D0" w:rsidP="00D23483">
            <w:pPr>
              <w:autoSpaceDE w:val="0"/>
              <w:autoSpaceDN w:val="0"/>
              <w:adjustRightInd w:val="0"/>
              <w:ind w:left="720"/>
              <w:rPr>
                <w:rFonts w:eastAsiaTheme="minorEastAsia" w:cs="Times New Roman"/>
                <w:szCs w:val="20"/>
                <w:lang w:eastAsia="ko-KR"/>
              </w:rPr>
            </w:pPr>
            <w:r>
              <w:rPr>
                <w:rFonts w:eastAsiaTheme="minorEastAsia" w:cs="Times New Roman"/>
                <w:szCs w:val="20"/>
                <w:lang w:eastAsia="ko-KR"/>
              </w:rPr>
              <w:t>- The UE has sent at least 1 L1-RSRP report for the target TCI state before the TCI state switch command</w:t>
            </w:r>
          </w:p>
          <w:p w14:paraId="50F0E5B6" w14:textId="77777777" w:rsidR="005508D0" w:rsidRDefault="005508D0" w:rsidP="00D23483">
            <w:pPr>
              <w:autoSpaceDE w:val="0"/>
              <w:autoSpaceDN w:val="0"/>
              <w:adjustRightInd w:val="0"/>
              <w:ind w:left="720"/>
              <w:rPr>
                <w:rFonts w:eastAsiaTheme="minorEastAsia" w:cs="Times New Roman"/>
                <w:szCs w:val="20"/>
                <w:lang w:eastAsia="ko-KR"/>
              </w:rPr>
            </w:pPr>
            <w:r>
              <w:rPr>
                <w:rFonts w:eastAsiaTheme="minorEastAsia" w:cs="Times New Roman"/>
                <w:szCs w:val="20"/>
                <w:lang w:eastAsia="ko-KR"/>
              </w:rPr>
              <w:t>- The TCI state remains detectable during the TCI state switching period</w:t>
            </w:r>
          </w:p>
          <w:p w14:paraId="44A956A7" w14:textId="77777777" w:rsidR="005508D0" w:rsidRDefault="005508D0" w:rsidP="00D23483">
            <w:pPr>
              <w:autoSpaceDE w:val="0"/>
              <w:autoSpaceDN w:val="0"/>
              <w:adjustRightInd w:val="0"/>
              <w:ind w:left="720"/>
              <w:rPr>
                <w:rFonts w:eastAsiaTheme="minorEastAsia" w:cs="Times New Roman"/>
                <w:szCs w:val="20"/>
                <w:lang w:eastAsia="ko-KR"/>
              </w:rPr>
            </w:pPr>
            <w:r>
              <w:rPr>
                <w:rFonts w:eastAsiaTheme="minorEastAsia" w:cs="Times New Roman"/>
                <w:szCs w:val="20"/>
                <w:lang w:eastAsia="ko-KR"/>
              </w:rPr>
              <w:t>- The SSB associated with the TCI state remain detectable during the TCI switching period</w:t>
            </w:r>
          </w:p>
          <w:p w14:paraId="2F6E0ED9" w14:textId="77777777" w:rsidR="005508D0" w:rsidRDefault="005508D0" w:rsidP="00D23483">
            <w:pPr>
              <w:autoSpaceDE w:val="0"/>
              <w:autoSpaceDN w:val="0"/>
              <w:adjustRightInd w:val="0"/>
              <w:ind w:left="1440"/>
              <w:rPr>
                <w:rFonts w:eastAsiaTheme="minorEastAsia" w:cs="Times New Roman"/>
                <w:szCs w:val="20"/>
                <w:lang w:eastAsia="ko-KR"/>
              </w:rPr>
            </w:pPr>
            <w:r>
              <w:rPr>
                <w:rFonts w:eastAsiaTheme="minorEastAsia" w:cs="Times New Roman"/>
                <w:szCs w:val="20"/>
                <w:lang w:eastAsia="ko-KR"/>
              </w:rPr>
              <w:t xml:space="preserve">- SNR of the TCI state </w:t>
            </w:r>
            <w:r>
              <w:rPr>
                <w:rFonts w:ascii="T33" w:eastAsia="T33" w:hAnsi="Arial" w:cs="T33" w:hint="eastAsia"/>
                <w:szCs w:val="20"/>
                <w:lang w:eastAsia="ko-KR"/>
              </w:rPr>
              <w:t>≥</w:t>
            </w:r>
            <w:r>
              <w:rPr>
                <w:rFonts w:ascii="T33" w:eastAsia="T33" w:hAnsi="Arial" w:cs="T33"/>
                <w:szCs w:val="20"/>
                <w:lang w:eastAsia="ko-KR"/>
              </w:rPr>
              <w:t xml:space="preserve"> </w:t>
            </w:r>
            <w:r>
              <w:rPr>
                <w:rFonts w:eastAsiaTheme="minorEastAsia" w:cs="Times New Roman"/>
                <w:szCs w:val="20"/>
                <w:lang w:eastAsia="ko-KR"/>
              </w:rPr>
              <w:t>-3dB</w:t>
            </w:r>
          </w:p>
          <w:p w14:paraId="2C3C6DEE" w14:textId="77777777" w:rsidR="005508D0" w:rsidRDefault="005508D0" w:rsidP="005508D0">
            <w:pPr>
              <w:autoSpaceDE w:val="0"/>
              <w:autoSpaceDN w:val="0"/>
              <w:adjustRightInd w:val="0"/>
              <w:rPr>
                <w:rFonts w:eastAsiaTheme="minorEastAsia" w:cs="Times New Roman"/>
                <w:szCs w:val="20"/>
                <w:lang w:eastAsia="ko-KR"/>
              </w:rPr>
            </w:pPr>
            <w:r>
              <w:rPr>
                <w:rFonts w:eastAsiaTheme="minorEastAsia" w:cs="Times New Roman"/>
                <w:szCs w:val="20"/>
                <w:lang w:eastAsia="ko-KR"/>
              </w:rPr>
              <w:t>Otherwise, the TCI state is unknown.</w:t>
            </w:r>
          </w:p>
          <w:p w14:paraId="2FE5CEBA" w14:textId="77777777" w:rsidR="005508D0" w:rsidRDefault="005508D0" w:rsidP="00AC0BBF">
            <w:pPr>
              <w:autoSpaceDE w:val="0"/>
              <w:autoSpaceDN w:val="0"/>
              <w:adjustRightInd w:val="0"/>
              <w:rPr>
                <w:rFonts w:eastAsiaTheme="minorEastAsia" w:cs="Times New Roman"/>
                <w:szCs w:val="20"/>
                <w:lang w:eastAsia="ko-KR"/>
              </w:rPr>
            </w:pPr>
          </w:p>
        </w:tc>
      </w:tr>
    </w:tbl>
    <w:p w14:paraId="3D7F3CB7" w14:textId="0306FFFB" w:rsidR="00AC0BBF" w:rsidRDefault="00AC0BBF" w:rsidP="00AC0BBF">
      <w:pPr>
        <w:autoSpaceDE w:val="0"/>
        <w:autoSpaceDN w:val="0"/>
        <w:adjustRightInd w:val="0"/>
        <w:spacing w:after="0" w:line="240" w:lineRule="auto"/>
        <w:rPr>
          <w:rFonts w:eastAsiaTheme="minorEastAsia" w:cs="Times New Roman"/>
          <w:szCs w:val="20"/>
          <w:lang w:eastAsia="ko-KR"/>
        </w:rPr>
      </w:pPr>
    </w:p>
    <w:p w14:paraId="18D59237" w14:textId="6C4DADB5" w:rsidR="002D5BF0" w:rsidRPr="00D23483" w:rsidRDefault="00DC1138">
      <w:pPr>
        <w:autoSpaceDE w:val="0"/>
        <w:autoSpaceDN w:val="0"/>
        <w:adjustRightInd w:val="0"/>
        <w:spacing w:after="0" w:line="240" w:lineRule="auto"/>
        <w:rPr>
          <w:rFonts w:eastAsiaTheme="minorEastAsia" w:cs="Times New Roman"/>
          <w:szCs w:val="20"/>
          <w:lang w:eastAsia="ko-KR"/>
        </w:rPr>
      </w:pPr>
      <w:r w:rsidRPr="00D23483">
        <w:rPr>
          <w:rFonts w:eastAsiaTheme="minorEastAsia" w:cs="Times New Roman"/>
          <w:b/>
          <w:bCs/>
          <w:szCs w:val="20"/>
          <w:lang w:eastAsia="ko-KR"/>
        </w:rPr>
        <w:t xml:space="preserve">Proposal </w:t>
      </w:r>
      <w:r w:rsidR="00DE0B74" w:rsidRPr="00D23483">
        <w:rPr>
          <w:rFonts w:eastAsiaTheme="minorEastAsia" w:cs="Times New Roman"/>
          <w:b/>
          <w:bCs/>
          <w:szCs w:val="20"/>
          <w:lang w:eastAsia="ko-KR"/>
        </w:rPr>
        <w:t>5</w:t>
      </w:r>
      <w:r w:rsidRPr="00D23483">
        <w:rPr>
          <w:rFonts w:eastAsiaTheme="minorEastAsia" w:cs="Times New Roman"/>
          <w:b/>
          <w:bCs/>
          <w:szCs w:val="20"/>
          <w:lang w:eastAsia="ko-KR"/>
        </w:rPr>
        <w:t xml:space="preserve"> :</w:t>
      </w:r>
      <w:r w:rsidRPr="00D23483">
        <w:rPr>
          <w:rFonts w:eastAsiaTheme="minorEastAsia" w:cs="Times New Roman"/>
          <w:szCs w:val="20"/>
          <w:lang w:eastAsia="ko-KR"/>
        </w:rPr>
        <w:t xml:space="preserve"> </w:t>
      </w:r>
      <w:r w:rsidR="009604C6" w:rsidRPr="00D23483">
        <w:rPr>
          <w:rFonts w:eastAsiaTheme="minorEastAsia" w:cs="Times New Roman"/>
          <w:szCs w:val="20"/>
          <w:lang w:eastAsia="ko-KR"/>
        </w:rPr>
        <w:t xml:space="preserve">Add non-serving cell to </w:t>
      </w:r>
      <w:r w:rsidR="00FD27F6" w:rsidRPr="00D23483">
        <w:rPr>
          <w:rFonts w:eastAsiaTheme="minorEastAsia" w:cs="Times New Roman"/>
          <w:szCs w:val="20"/>
          <w:lang w:eastAsia="ko-KR"/>
        </w:rPr>
        <w:t>known conditions for DL TCI state (</w:t>
      </w:r>
      <w:r w:rsidR="009604C6" w:rsidRPr="00D23483">
        <w:rPr>
          <w:rFonts w:eastAsiaTheme="minorEastAsia" w:cs="Times New Roman"/>
          <w:szCs w:val="20"/>
          <w:lang w:eastAsia="ko-KR"/>
        </w:rPr>
        <w:t>TS38.133 8.10.2.</w:t>
      </w:r>
      <w:r w:rsidR="00FD27F6" w:rsidRPr="00D23483">
        <w:rPr>
          <w:rFonts w:eastAsiaTheme="minorEastAsia" w:cs="Times New Roman"/>
          <w:szCs w:val="20"/>
          <w:lang w:eastAsia="ko-KR"/>
        </w:rPr>
        <w:t>)</w:t>
      </w:r>
    </w:p>
    <w:p w14:paraId="6EC633C6" w14:textId="577B9E03" w:rsidR="00E43BB6" w:rsidRPr="00D23483" w:rsidRDefault="000F2B2F" w:rsidP="00D23483">
      <w:pPr>
        <w:pStyle w:val="ListParagraph"/>
        <w:numPr>
          <w:ilvl w:val="0"/>
          <w:numId w:val="31"/>
        </w:numPr>
        <w:autoSpaceDE w:val="0"/>
        <w:autoSpaceDN w:val="0"/>
        <w:adjustRightInd w:val="0"/>
        <w:spacing w:after="0" w:line="240" w:lineRule="auto"/>
        <w:rPr>
          <w:rFonts w:eastAsiaTheme="minorEastAsia" w:cs="Times New Roman"/>
          <w:i/>
          <w:iCs/>
          <w:szCs w:val="20"/>
          <w:lang w:eastAsia="ko-KR"/>
        </w:rPr>
      </w:pPr>
      <w:r w:rsidRPr="00D23483">
        <w:rPr>
          <w:rFonts w:cs="Times"/>
          <w:i/>
          <w:iCs/>
          <w:szCs w:val="20"/>
        </w:rPr>
        <w:t>TCI state</w:t>
      </w:r>
      <w:r w:rsidR="000A2A32">
        <w:rPr>
          <w:rFonts w:cs="Times"/>
          <w:i/>
          <w:iCs/>
          <w:szCs w:val="20"/>
        </w:rPr>
        <w:t xml:space="preserve"> is associated</w:t>
      </w:r>
      <w:r w:rsidRPr="00D23483">
        <w:rPr>
          <w:rFonts w:cs="Times"/>
          <w:i/>
          <w:iCs/>
          <w:szCs w:val="20"/>
        </w:rPr>
        <w:t xml:space="preserve"> </w:t>
      </w:r>
      <w:r w:rsidR="000A2A32">
        <w:rPr>
          <w:rFonts w:cs="Times"/>
          <w:i/>
          <w:iCs/>
          <w:szCs w:val="20"/>
        </w:rPr>
        <w:t>with</w:t>
      </w:r>
      <w:r w:rsidRPr="00D23483">
        <w:rPr>
          <w:rFonts w:cs="Times"/>
          <w:i/>
          <w:iCs/>
          <w:szCs w:val="20"/>
        </w:rPr>
        <w:t xml:space="preserve"> a</w:t>
      </w:r>
      <w:r w:rsidR="002D5BF0" w:rsidRPr="00D23483">
        <w:rPr>
          <w:rFonts w:cs="Times"/>
          <w:i/>
          <w:iCs/>
          <w:szCs w:val="20"/>
        </w:rPr>
        <w:t xml:space="preserve"> serving cell or cell</w:t>
      </w:r>
      <w:r w:rsidRPr="00D23483">
        <w:rPr>
          <w:rFonts w:cs="Times"/>
          <w:i/>
          <w:iCs/>
          <w:szCs w:val="20"/>
        </w:rPr>
        <w:t>(s)</w:t>
      </w:r>
      <w:r w:rsidR="002D5BF0" w:rsidRPr="00D23483">
        <w:rPr>
          <w:rFonts w:cs="Times"/>
          <w:i/>
          <w:iCs/>
          <w:szCs w:val="20"/>
        </w:rPr>
        <w:t xml:space="preserve"> with PCI</w:t>
      </w:r>
      <w:r w:rsidRPr="00D23483">
        <w:rPr>
          <w:rFonts w:cs="Times"/>
          <w:i/>
          <w:iCs/>
          <w:szCs w:val="20"/>
        </w:rPr>
        <w:t>(</w:t>
      </w:r>
      <w:r w:rsidR="002D5BF0" w:rsidRPr="00D23483">
        <w:rPr>
          <w:rFonts w:cs="Times"/>
          <w:i/>
          <w:iCs/>
          <w:szCs w:val="20"/>
        </w:rPr>
        <w:t>s</w:t>
      </w:r>
      <w:r w:rsidRPr="00D23483">
        <w:rPr>
          <w:rFonts w:cs="Times"/>
          <w:i/>
          <w:iCs/>
          <w:szCs w:val="20"/>
        </w:rPr>
        <w:t>)</w:t>
      </w:r>
      <w:r w:rsidR="002D5BF0" w:rsidRPr="00D23483">
        <w:rPr>
          <w:rFonts w:cs="Times"/>
          <w:i/>
          <w:iCs/>
          <w:szCs w:val="20"/>
        </w:rPr>
        <w:t xml:space="preserve"> different from the serving cell configured for L1-RSRP reporting</w:t>
      </w:r>
    </w:p>
    <w:p w14:paraId="518E1251" w14:textId="2A21A9FD" w:rsidR="005508D0" w:rsidRPr="00D23483" w:rsidRDefault="005508D0" w:rsidP="00AC0BBF">
      <w:pPr>
        <w:autoSpaceDE w:val="0"/>
        <w:autoSpaceDN w:val="0"/>
        <w:adjustRightInd w:val="0"/>
        <w:spacing w:after="0" w:line="240" w:lineRule="auto"/>
        <w:rPr>
          <w:rFonts w:eastAsiaTheme="minorEastAsia" w:cs="Times New Roman"/>
          <w:szCs w:val="20"/>
          <w:lang w:eastAsia="ko-KR"/>
        </w:rPr>
      </w:pPr>
    </w:p>
    <w:p w14:paraId="3B14C739" w14:textId="5DE750DC" w:rsidR="00FD27F6" w:rsidRPr="00D23483" w:rsidRDefault="00FD27F6" w:rsidP="00FD27F6">
      <w:pPr>
        <w:autoSpaceDE w:val="0"/>
        <w:autoSpaceDN w:val="0"/>
        <w:adjustRightInd w:val="0"/>
        <w:spacing w:after="0" w:line="240" w:lineRule="auto"/>
        <w:rPr>
          <w:rFonts w:cs="Times"/>
          <w:szCs w:val="20"/>
        </w:rPr>
      </w:pPr>
      <w:r w:rsidRPr="00D23483">
        <w:rPr>
          <w:rFonts w:eastAsiaTheme="minorEastAsia" w:cs="Times New Roman"/>
          <w:b/>
          <w:bCs/>
          <w:szCs w:val="20"/>
          <w:lang w:eastAsia="ko-KR"/>
        </w:rPr>
        <w:t xml:space="preserve">Proposal </w:t>
      </w:r>
      <w:r w:rsidR="00DE0B74" w:rsidRPr="00D23483">
        <w:rPr>
          <w:rFonts w:eastAsiaTheme="minorEastAsia" w:cs="Times New Roman"/>
          <w:b/>
          <w:bCs/>
          <w:szCs w:val="20"/>
          <w:lang w:eastAsia="ko-KR"/>
        </w:rPr>
        <w:t>6</w:t>
      </w:r>
      <w:r w:rsidRPr="00D23483">
        <w:rPr>
          <w:rFonts w:eastAsiaTheme="minorEastAsia" w:cs="Times New Roman"/>
          <w:b/>
          <w:bCs/>
          <w:szCs w:val="20"/>
          <w:lang w:eastAsia="ko-KR"/>
        </w:rPr>
        <w:t xml:space="preserve"> :</w:t>
      </w:r>
      <w:r w:rsidRPr="00D23483">
        <w:rPr>
          <w:rFonts w:eastAsiaTheme="minorEastAsia" w:cs="Times New Roman"/>
          <w:szCs w:val="20"/>
          <w:lang w:eastAsia="ko-KR"/>
        </w:rPr>
        <w:t xml:space="preserve"> Add non-serving cell to known conditions for UL spatial relation (TS38.133 8.12.2.)</w:t>
      </w:r>
    </w:p>
    <w:p w14:paraId="7DDDCEB9" w14:textId="67FE8705" w:rsidR="00FD27F6" w:rsidRPr="00D23483" w:rsidRDefault="00FD27F6" w:rsidP="00D23483">
      <w:pPr>
        <w:pStyle w:val="ListParagraph"/>
        <w:numPr>
          <w:ilvl w:val="0"/>
          <w:numId w:val="31"/>
        </w:numPr>
        <w:autoSpaceDE w:val="0"/>
        <w:autoSpaceDN w:val="0"/>
        <w:adjustRightInd w:val="0"/>
        <w:spacing w:after="0" w:line="240" w:lineRule="auto"/>
        <w:rPr>
          <w:rFonts w:eastAsiaTheme="minorEastAsia" w:cs="Times New Roman"/>
          <w:i/>
          <w:iCs/>
          <w:szCs w:val="20"/>
          <w:lang w:eastAsia="ko-KR"/>
        </w:rPr>
      </w:pPr>
      <w:r w:rsidRPr="00D23483">
        <w:rPr>
          <w:rFonts w:cs="Times"/>
          <w:i/>
          <w:iCs/>
          <w:szCs w:val="20"/>
        </w:rPr>
        <w:t xml:space="preserve">TCI state </w:t>
      </w:r>
      <w:r w:rsidR="000A2A32">
        <w:rPr>
          <w:rFonts w:cs="Times"/>
          <w:i/>
          <w:iCs/>
          <w:szCs w:val="20"/>
        </w:rPr>
        <w:t>is associated</w:t>
      </w:r>
      <w:r w:rsidR="000A2A32" w:rsidRPr="00D23483">
        <w:rPr>
          <w:rFonts w:cs="Times"/>
          <w:i/>
          <w:iCs/>
          <w:szCs w:val="20"/>
        </w:rPr>
        <w:t xml:space="preserve"> </w:t>
      </w:r>
      <w:r w:rsidR="000A2A32">
        <w:rPr>
          <w:rFonts w:cs="Times"/>
          <w:i/>
          <w:iCs/>
          <w:szCs w:val="20"/>
        </w:rPr>
        <w:t>with</w:t>
      </w:r>
      <w:r w:rsidRPr="00D23483">
        <w:rPr>
          <w:rFonts w:cs="Times"/>
          <w:i/>
          <w:iCs/>
          <w:szCs w:val="20"/>
        </w:rPr>
        <w:t xml:space="preserve"> a serving cell or cell(s) with PCI(s) different from the serving cell configured for L1-RSRP reporting</w:t>
      </w:r>
    </w:p>
    <w:p w14:paraId="78DA8EF3" w14:textId="77777777" w:rsidR="00C7772E" w:rsidRPr="00D23483" w:rsidRDefault="00C7772E" w:rsidP="009604C6">
      <w:pPr>
        <w:autoSpaceDE w:val="0"/>
        <w:autoSpaceDN w:val="0"/>
        <w:adjustRightInd w:val="0"/>
        <w:spacing w:after="0" w:line="240" w:lineRule="auto"/>
        <w:rPr>
          <w:rFonts w:eastAsiaTheme="minorEastAsia" w:cs="Times New Roman"/>
          <w:szCs w:val="20"/>
          <w:highlight w:val="cyan"/>
          <w:lang w:val="en-GB" w:eastAsia="ko-KR"/>
        </w:rPr>
      </w:pPr>
    </w:p>
    <w:p w14:paraId="51E1DEF7" w14:textId="61339DF1" w:rsidR="0064623E" w:rsidRDefault="0064623E" w:rsidP="0064623E">
      <w:pPr>
        <w:pStyle w:val="ListParagraph"/>
        <w:ind w:left="1080" w:right="-22"/>
        <w:rPr>
          <w:rFonts w:eastAsia="Calibri" w:cs="Times New Roman"/>
          <w:szCs w:val="20"/>
          <w:lang w:val="en-GB"/>
        </w:rPr>
      </w:pPr>
    </w:p>
    <w:p w14:paraId="0F1310A6" w14:textId="6972674D" w:rsidR="00AA49C8" w:rsidRDefault="00AA49C8" w:rsidP="003E6400">
      <w:pPr>
        <w:ind w:right="-22"/>
        <w:rPr>
          <w:rFonts w:cs="Times New Roman"/>
        </w:rPr>
      </w:pPr>
    </w:p>
    <w:p w14:paraId="64F1DB3F" w14:textId="77777777" w:rsidR="00AA49C8" w:rsidRPr="00D33FFC" w:rsidRDefault="00AA49C8" w:rsidP="003E6400">
      <w:pPr>
        <w:ind w:right="-22"/>
        <w:rPr>
          <w:rFonts w:eastAsia="Calibri" w:cs="Times New Roman"/>
          <w:szCs w:val="20"/>
        </w:rPr>
      </w:pPr>
    </w:p>
    <w:p w14:paraId="48AF19C3" w14:textId="31C1FF14" w:rsidR="008D3B00" w:rsidRPr="00D33FFC" w:rsidRDefault="008D3B00" w:rsidP="008D3B00">
      <w:pPr>
        <w:pStyle w:val="RAN4H1"/>
      </w:pPr>
      <w:r w:rsidRPr="00D33FFC">
        <w:t>Conclusion</w:t>
      </w:r>
    </w:p>
    <w:p w14:paraId="7A636AB8" w14:textId="554F8169" w:rsidR="00CF5711" w:rsidRPr="00D33FFC" w:rsidRDefault="00CF5711" w:rsidP="00CF5711">
      <w:pPr>
        <w:rPr>
          <w:lang w:val="en-GB"/>
        </w:rPr>
      </w:pPr>
      <w:r w:rsidRPr="00D33FFC">
        <w:rPr>
          <w:lang w:val="en-GB"/>
        </w:rPr>
        <w:t xml:space="preserve">In this contribution, we discuss about </w:t>
      </w:r>
      <w:proofErr w:type="spellStart"/>
      <w:r w:rsidRPr="00D33FFC">
        <w:rPr>
          <w:lang w:val="en-GB"/>
        </w:rPr>
        <w:t>feMIMO</w:t>
      </w:r>
      <w:proofErr w:type="spellEnd"/>
      <w:r w:rsidRPr="00D33FFC">
        <w:rPr>
          <w:lang w:val="en-GB"/>
        </w:rPr>
        <w:t xml:space="preserve"> features and RRM spec impacts. </w:t>
      </w:r>
      <w:r w:rsidR="00084AFD" w:rsidRPr="00D33FFC">
        <w:rPr>
          <w:lang w:val="en-GB"/>
        </w:rPr>
        <w:t>Our observations and proposals are as follow :</w:t>
      </w:r>
    </w:p>
    <w:p w14:paraId="1E5591ED" w14:textId="77777777" w:rsidR="00DE0B74" w:rsidRPr="00D23483" w:rsidRDefault="00DE0B74" w:rsidP="00DE0B74">
      <w:pPr>
        <w:ind w:right="-22"/>
        <w:rPr>
          <w:rFonts w:eastAsia="Calibri" w:cs="Times New Roman"/>
          <w:szCs w:val="20"/>
          <w:lang w:val="en-GB"/>
        </w:rPr>
      </w:pPr>
      <w:r w:rsidRPr="00D23483">
        <w:rPr>
          <w:rFonts w:eastAsia="Calibri" w:cs="Times New Roman"/>
          <w:b/>
          <w:bCs/>
          <w:szCs w:val="20"/>
          <w:lang w:val="en-GB"/>
        </w:rPr>
        <w:t>Observation 1 :</w:t>
      </w:r>
      <w:r w:rsidRPr="00D23483">
        <w:rPr>
          <w:rFonts w:eastAsia="Calibri" w:cs="Times New Roman"/>
          <w:szCs w:val="20"/>
          <w:lang w:val="en-GB"/>
        </w:rPr>
        <w:t xml:space="preserve"> Rel-17 </w:t>
      </w:r>
      <w:proofErr w:type="spellStart"/>
      <w:r w:rsidRPr="00D23483">
        <w:rPr>
          <w:rFonts w:eastAsia="Calibri" w:cs="Times New Roman"/>
          <w:szCs w:val="20"/>
          <w:lang w:val="en-GB"/>
        </w:rPr>
        <w:t>feMIMO</w:t>
      </w:r>
      <w:proofErr w:type="spellEnd"/>
      <w:r w:rsidRPr="00D23483">
        <w:rPr>
          <w:rFonts w:eastAsia="Calibri" w:cs="Times New Roman"/>
          <w:szCs w:val="20"/>
          <w:lang w:val="en-GB"/>
        </w:rPr>
        <w:t xml:space="preserve"> supports inter cell BM and inter cell </w:t>
      </w:r>
      <w:proofErr w:type="spellStart"/>
      <w:r w:rsidRPr="00D23483">
        <w:rPr>
          <w:rFonts w:eastAsia="Calibri" w:cs="Times New Roman"/>
          <w:szCs w:val="20"/>
          <w:lang w:val="en-GB"/>
        </w:rPr>
        <w:t>mTRP</w:t>
      </w:r>
      <w:proofErr w:type="spellEnd"/>
      <w:r w:rsidRPr="00D23483">
        <w:rPr>
          <w:rFonts w:eastAsia="Calibri" w:cs="Times New Roman"/>
          <w:szCs w:val="20"/>
          <w:lang w:val="en-GB"/>
        </w:rPr>
        <w:t xml:space="preserve"> with one or multiple (M&gt;=1, N &gt;=1) ‘joint / separate’ TCIs’ for DL and UL</w:t>
      </w:r>
    </w:p>
    <w:p w14:paraId="32ED71D3" w14:textId="77777777" w:rsidR="00DE0B74" w:rsidRPr="00D23483" w:rsidRDefault="00DE0B74" w:rsidP="00DE0B74">
      <w:pPr>
        <w:ind w:right="-22"/>
        <w:rPr>
          <w:rFonts w:eastAsiaTheme="minorEastAsia"/>
          <w:lang w:eastAsia="zh-CN"/>
        </w:rPr>
      </w:pPr>
      <w:r w:rsidRPr="00D23483">
        <w:rPr>
          <w:rFonts w:eastAsia="Calibri" w:cs="Times New Roman"/>
          <w:b/>
          <w:bCs/>
          <w:szCs w:val="20"/>
          <w:lang w:val="en-GB"/>
        </w:rPr>
        <w:t>Observation 2 :</w:t>
      </w:r>
      <w:r w:rsidRPr="00D23483">
        <w:rPr>
          <w:rFonts w:eastAsia="Calibri" w:cs="Times New Roman"/>
          <w:szCs w:val="20"/>
          <w:lang w:val="en-GB"/>
        </w:rPr>
        <w:t xml:space="preserve"> Unified</w:t>
      </w:r>
      <w:r w:rsidRPr="00D23483">
        <w:rPr>
          <w:rFonts w:eastAsiaTheme="minorEastAsia"/>
          <w:lang w:eastAsia="zh-CN"/>
        </w:rPr>
        <w:t xml:space="preserve"> TCI feature is the framework in Rel-17, however in physical layer, actual TCI switching is executed as DL TCI switching or UL TCI switching under Rel-17 </w:t>
      </w:r>
      <w:r w:rsidRPr="00D23483">
        <w:rPr>
          <w:rFonts w:eastAsia="Calibri" w:cs="Times New Roman"/>
          <w:szCs w:val="20"/>
        </w:rPr>
        <w:t xml:space="preserve">unified TCI framework. </w:t>
      </w:r>
      <w:r w:rsidRPr="00D23483">
        <w:rPr>
          <w:rFonts w:eastAsiaTheme="minorEastAsia"/>
          <w:lang w:eastAsia="zh-CN"/>
        </w:rPr>
        <w:t xml:space="preserve"> </w:t>
      </w:r>
    </w:p>
    <w:p w14:paraId="5A347D3F" w14:textId="77777777" w:rsidR="00DE0B74" w:rsidRPr="00D23483" w:rsidRDefault="00DE0B74" w:rsidP="00DE0B74">
      <w:pPr>
        <w:ind w:right="-22"/>
        <w:rPr>
          <w:rFonts w:eastAsia="Calibri" w:cs="Times New Roman"/>
          <w:szCs w:val="20"/>
        </w:rPr>
      </w:pPr>
      <w:r w:rsidRPr="00D23483">
        <w:rPr>
          <w:rFonts w:eastAsia="Calibri" w:cs="Times New Roman"/>
          <w:b/>
          <w:bCs/>
          <w:szCs w:val="20"/>
        </w:rPr>
        <w:t>Proposal 1 :</w:t>
      </w:r>
      <w:r w:rsidRPr="00D23483">
        <w:rPr>
          <w:rFonts w:eastAsia="Calibri" w:cs="Times New Roman"/>
          <w:szCs w:val="20"/>
        </w:rPr>
        <w:t xml:space="preserve"> Study on DL TCI switching and UL TCI switching requirements to commonly support unified/joint/separate TCI framework. </w:t>
      </w:r>
    </w:p>
    <w:p w14:paraId="2AB5D2AC" w14:textId="77777777" w:rsidR="00DE0B74" w:rsidRPr="00D23483" w:rsidRDefault="00DE0B74" w:rsidP="00DE0B74">
      <w:pPr>
        <w:ind w:right="-22"/>
        <w:rPr>
          <w:rFonts w:eastAsia="Calibri" w:cs="Times New Roman"/>
          <w:szCs w:val="20"/>
        </w:rPr>
      </w:pPr>
      <w:r w:rsidRPr="00D23483">
        <w:rPr>
          <w:rFonts w:eastAsia="Calibri" w:cs="Times New Roman"/>
          <w:b/>
          <w:bCs/>
          <w:szCs w:val="20"/>
        </w:rPr>
        <w:t>Proposal 2 :</w:t>
      </w:r>
      <w:r w:rsidRPr="00D23483">
        <w:rPr>
          <w:rFonts w:eastAsia="Calibri" w:cs="Times New Roman"/>
          <w:szCs w:val="20"/>
        </w:rPr>
        <w:t xml:space="preserve"> For inter-cell </w:t>
      </w:r>
      <w:proofErr w:type="spellStart"/>
      <w:r w:rsidRPr="00D23483">
        <w:rPr>
          <w:rFonts w:eastAsia="Calibri" w:cs="Times New Roman"/>
          <w:szCs w:val="20"/>
        </w:rPr>
        <w:t>mTRP</w:t>
      </w:r>
      <w:proofErr w:type="spellEnd"/>
      <w:r w:rsidRPr="00D23483">
        <w:rPr>
          <w:rFonts w:eastAsia="Calibri" w:cs="Times New Roman"/>
          <w:szCs w:val="20"/>
        </w:rPr>
        <w:t xml:space="preserve">, UE assumes multiple DCI based switching for </w:t>
      </w:r>
      <w:proofErr w:type="spellStart"/>
      <w:r w:rsidRPr="00D23483">
        <w:rPr>
          <w:rFonts w:eastAsia="Calibri" w:cs="Times New Roman"/>
          <w:szCs w:val="20"/>
        </w:rPr>
        <w:t>mTRP</w:t>
      </w:r>
      <w:proofErr w:type="spellEnd"/>
      <w:r w:rsidRPr="00D23483">
        <w:rPr>
          <w:rFonts w:eastAsia="Calibri" w:cs="Times New Roman"/>
          <w:szCs w:val="20"/>
        </w:rPr>
        <w:t>. RAN4 reviews TCI switching impact due to multiple joint / separate TCIs’ for DL and UL.</w:t>
      </w:r>
    </w:p>
    <w:p w14:paraId="36B42772" w14:textId="0621AFB3" w:rsidR="00084AFD" w:rsidRPr="00D23483" w:rsidRDefault="00DE0B74" w:rsidP="11C410BE">
      <w:pPr>
        <w:ind w:right="-22"/>
        <w:rPr>
          <w:rFonts w:eastAsia="Calibri" w:cs="Times New Roman"/>
          <w:lang w:val="en-GB"/>
        </w:rPr>
      </w:pPr>
      <w:r w:rsidRPr="19F2F377">
        <w:rPr>
          <w:rFonts w:eastAsia="Calibri" w:cs="Times New Roman"/>
        </w:rPr>
        <w:t xml:space="preserve">          Option 1 : multiple TCI switching is assumed to be independent, hence a single TCI requirement </w:t>
      </w:r>
      <w:r w:rsidR="4D909F6F" w:rsidRPr="19F2F377">
        <w:rPr>
          <w:rFonts w:eastAsia="Calibri" w:cs="Times New Roman"/>
        </w:rPr>
        <w:t>is</w:t>
      </w:r>
      <w:r w:rsidRPr="19F2F377">
        <w:rPr>
          <w:rFonts w:eastAsia="Calibri" w:cs="Times New Roman"/>
        </w:rPr>
        <w:t xml:space="preserve"> applied independently. </w:t>
      </w:r>
      <w:r>
        <w:br/>
      </w:r>
      <w:r w:rsidRPr="19F2F377">
        <w:rPr>
          <w:rFonts w:eastAsia="Calibri" w:cs="Times New Roman"/>
        </w:rPr>
        <w:t xml:space="preserve">          Option 2 : multiple TCI switching is assumed to be dependent, and </w:t>
      </w:r>
      <w:r w:rsidR="207921F0" w:rsidRPr="19F2F377">
        <w:rPr>
          <w:rFonts w:eastAsia="Calibri" w:cs="Times New Roman"/>
        </w:rPr>
        <w:t>new requirements</w:t>
      </w:r>
      <w:r w:rsidRPr="19F2F377">
        <w:rPr>
          <w:rFonts w:eastAsia="Calibri" w:cs="Times New Roman"/>
        </w:rPr>
        <w:t xml:space="preserve"> are considered for multiple TCI switching.</w:t>
      </w:r>
    </w:p>
    <w:p w14:paraId="1AAF6B02" w14:textId="77777777" w:rsidR="00DE0B74" w:rsidRPr="00D23483" w:rsidRDefault="00DE0B74" w:rsidP="00DE0B74">
      <w:r w:rsidRPr="00D23483">
        <w:rPr>
          <w:b/>
          <w:bCs/>
        </w:rPr>
        <w:t>Observation 3 :</w:t>
      </w:r>
      <w:r w:rsidRPr="00D23483">
        <w:t xml:space="preserve"> </w:t>
      </w:r>
      <w:r w:rsidRPr="00D23483">
        <w:rPr>
          <w:lang w:val="en-GB"/>
        </w:rPr>
        <w:t xml:space="preserve">Non-serving cell existence and cell configuration is always known to a UE for TCI switching. </w:t>
      </w:r>
    </w:p>
    <w:p w14:paraId="56A8E6C5" w14:textId="77777777" w:rsidR="00DE0B74" w:rsidRPr="00D23483" w:rsidRDefault="00DE0B74" w:rsidP="00DE0B74">
      <w:pPr>
        <w:ind w:right="-22"/>
        <w:rPr>
          <w:rFonts w:eastAsia="Calibri" w:cs="Times New Roman"/>
          <w:szCs w:val="20"/>
          <w:lang w:val="en-GB"/>
        </w:rPr>
      </w:pPr>
      <w:r w:rsidRPr="00D23483">
        <w:rPr>
          <w:rFonts w:eastAsia="Calibri" w:cs="Times New Roman"/>
          <w:b/>
          <w:bCs/>
          <w:szCs w:val="20"/>
          <w:lang w:val="en-GB"/>
        </w:rPr>
        <w:t>Proposal 3 :</w:t>
      </w:r>
      <w:r w:rsidRPr="00D23483">
        <w:rPr>
          <w:rFonts w:eastAsia="Calibri" w:cs="Times New Roman"/>
          <w:szCs w:val="20"/>
          <w:lang w:val="en-GB"/>
        </w:rPr>
        <w:t xml:space="preserve"> If non-serving cell is known by pre-configuration, RAN4 reviews if TCI switching delay requirement for the serving cell is applicable to TCI switching to non-serving cell. </w:t>
      </w:r>
    </w:p>
    <w:p w14:paraId="28A9F281" w14:textId="77777777" w:rsidR="00DE0B74" w:rsidRPr="00D23483" w:rsidRDefault="00DE0B74" w:rsidP="00DE0B74">
      <w:pPr>
        <w:spacing w:after="120" w:line="252" w:lineRule="auto"/>
        <w:rPr>
          <w:lang w:val="en-GB"/>
        </w:rPr>
      </w:pPr>
      <w:r w:rsidRPr="00D23483">
        <w:rPr>
          <w:rFonts w:eastAsia="Calibri"/>
          <w:b/>
          <w:bCs/>
        </w:rPr>
        <w:t>Proposal 4 :</w:t>
      </w:r>
      <w:r w:rsidRPr="00D23483">
        <w:rPr>
          <w:rFonts w:eastAsia="Calibri"/>
        </w:rPr>
        <w:t xml:space="preserve"> </w:t>
      </w:r>
      <w:r w:rsidRPr="00D23483">
        <w:t>RAN4 studies to specify on conditions of “identified non-serving cell(s)” status for TCI state switching to the non-serving cell(s)</w:t>
      </w:r>
    </w:p>
    <w:p w14:paraId="1AC8F7A9" w14:textId="3710E644" w:rsidR="00DE0B74" w:rsidRPr="00D23483" w:rsidRDefault="00DE0B74" w:rsidP="00DE0B74">
      <w:pPr>
        <w:pStyle w:val="ListParagraph"/>
        <w:numPr>
          <w:ilvl w:val="0"/>
          <w:numId w:val="31"/>
        </w:numPr>
        <w:spacing w:after="120" w:line="252" w:lineRule="auto"/>
        <w:rPr>
          <w:rFonts w:eastAsia="Calibri"/>
        </w:rPr>
      </w:pPr>
      <w:r w:rsidRPr="00D23483">
        <w:rPr>
          <w:rFonts w:eastAsia="Calibri"/>
        </w:rPr>
        <w:t>A baseline assumption is if a UE is configured of “non-serving cell” element and/or if a UE can perform cell detection successfully (i.e. decoding PBCH) of the non-serving cell.</w:t>
      </w:r>
    </w:p>
    <w:p w14:paraId="2AD1DC19" w14:textId="5E1E50E7" w:rsidR="00DE0B74" w:rsidRPr="00D23483" w:rsidRDefault="00DE0B74" w:rsidP="00DE0B74">
      <w:pPr>
        <w:pStyle w:val="ListParagraph"/>
        <w:numPr>
          <w:ilvl w:val="0"/>
          <w:numId w:val="31"/>
        </w:numPr>
        <w:spacing w:after="120" w:line="252" w:lineRule="auto"/>
        <w:rPr>
          <w:rFonts w:eastAsia="Calibri"/>
        </w:rPr>
      </w:pPr>
      <w:r w:rsidRPr="11C410BE">
        <w:rPr>
          <w:rFonts w:eastAsia="Calibri"/>
        </w:rPr>
        <w:lastRenderedPageBreak/>
        <w:t xml:space="preserve">Other conditions can </w:t>
      </w:r>
      <w:r w:rsidR="7B9D1101" w:rsidRPr="11C410BE">
        <w:rPr>
          <w:rFonts w:eastAsia="Calibri"/>
        </w:rPr>
        <w:t>also be</w:t>
      </w:r>
      <w:r w:rsidRPr="11C410BE">
        <w:rPr>
          <w:rFonts w:eastAsia="Calibri"/>
        </w:rPr>
        <w:t xml:space="preserve"> considered such as L3 -RSRP, quality of signal, RLM and QCL relation.</w:t>
      </w:r>
    </w:p>
    <w:p w14:paraId="18635A10" w14:textId="00C608F2" w:rsidR="00DE0B74" w:rsidRPr="00D23483" w:rsidRDefault="00DE0B74" w:rsidP="11C410BE">
      <w:pPr>
        <w:autoSpaceDE w:val="0"/>
        <w:autoSpaceDN w:val="0"/>
        <w:adjustRightInd w:val="0"/>
        <w:spacing w:after="0" w:line="240" w:lineRule="auto"/>
        <w:rPr>
          <w:rFonts w:eastAsiaTheme="minorEastAsia" w:cs="Times New Roman"/>
          <w:lang w:eastAsia="ko-KR"/>
        </w:rPr>
      </w:pPr>
      <w:r w:rsidRPr="11C410BE">
        <w:rPr>
          <w:rFonts w:eastAsiaTheme="minorEastAsia" w:cs="Times New Roman"/>
          <w:b/>
          <w:bCs/>
          <w:lang w:eastAsia="ko-KR"/>
        </w:rPr>
        <w:t>Proposal 5 :</w:t>
      </w:r>
      <w:r w:rsidRPr="11C410BE">
        <w:rPr>
          <w:rFonts w:eastAsiaTheme="minorEastAsia" w:cs="Times New Roman"/>
          <w:lang w:eastAsia="ko-KR"/>
        </w:rPr>
        <w:t xml:space="preserve"> Add non-serving cell to known conditions for DL TCI state (</w:t>
      </w:r>
      <w:r w:rsidR="4BB2C8F8" w:rsidRPr="11C410BE">
        <w:rPr>
          <w:rFonts w:eastAsiaTheme="minorEastAsia" w:cs="Times New Roman"/>
          <w:lang w:eastAsia="ko-KR"/>
        </w:rPr>
        <w:t xml:space="preserve">in </w:t>
      </w:r>
      <w:r w:rsidRPr="11C410BE">
        <w:rPr>
          <w:rFonts w:eastAsiaTheme="minorEastAsia" w:cs="Times New Roman"/>
          <w:lang w:eastAsia="ko-KR"/>
        </w:rPr>
        <w:t>TS38.133 8.10.2.)</w:t>
      </w:r>
    </w:p>
    <w:p w14:paraId="3682DEFF" w14:textId="0AC7B708" w:rsidR="00DE0B74" w:rsidRPr="00D23483" w:rsidRDefault="00DE0B74" w:rsidP="00DE0B74">
      <w:pPr>
        <w:pStyle w:val="ListParagraph"/>
        <w:numPr>
          <w:ilvl w:val="0"/>
          <w:numId w:val="31"/>
        </w:numPr>
        <w:autoSpaceDE w:val="0"/>
        <w:autoSpaceDN w:val="0"/>
        <w:adjustRightInd w:val="0"/>
        <w:spacing w:after="0" w:line="240" w:lineRule="auto"/>
        <w:rPr>
          <w:rFonts w:eastAsiaTheme="minorEastAsia" w:cs="Times New Roman"/>
          <w:i/>
          <w:iCs/>
          <w:szCs w:val="20"/>
          <w:lang w:eastAsia="ko-KR"/>
        </w:rPr>
      </w:pPr>
      <w:r w:rsidRPr="00D23483">
        <w:rPr>
          <w:rFonts w:cs="Times"/>
          <w:i/>
          <w:iCs/>
          <w:szCs w:val="20"/>
        </w:rPr>
        <w:t xml:space="preserve">TCI state </w:t>
      </w:r>
      <w:r w:rsidR="000A2A32">
        <w:rPr>
          <w:rFonts w:cs="Times"/>
          <w:i/>
          <w:iCs/>
          <w:szCs w:val="20"/>
        </w:rPr>
        <w:t>is associated</w:t>
      </w:r>
      <w:r w:rsidR="000A2A32" w:rsidRPr="00D23483">
        <w:rPr>
          <w:rFonts w:cs="Times"/>
          <w:i/>
          <w:iCs/>
          <w:szCs w:val="20"/>
        </w:rPr>
        <w:t xml:space="preserve"> </w:t>
      </w:r>
      <w:r w:rsidR="000A2A32">
        <w:rPr>
          <w:rFonts w:cs="Times"/>
          <w:i/>
          <w:iCs/>
          <w:szCs w:val="20"/>
        </w:rPr>
        <w:t>with</w:t>
      </w:r>
      <w:r w:rsidRPr="00D23483">
        <w:rPr>
          <w:rFonts w:cs="Times"/>
          <w:i/>
          <w:iCs/>
          <w:szCs w:val="20"/>
        </w:rPr>
        <w:t xml:space="preserve"> a serving cell or cell(s) with PCI(s) different from the serving cell configured for L1-RSRP reporting</w:t>
      </w:r>
    </w:p>
    <w:p w14:paraId="55B1A58A" w14:textId="77777777" w:rsidR="00DE0B74" w:rsidRPr="00D23483" w:rsidRDefault="00DE0B74" w:rsidP="00DE0B74">
      <w:pPr>
        <w:autoSpaceDE w:val="0"/>
        <w:autoSpaceDN w:val="0"/>
        <w:adjustRightInd w:val="0"/>
        <w:spacing w:after="0" w:line="240" w:lineRule="auto"/>
        <w:rPr>
          <w:rFonts w:eastAsiaTheme="minorEastAsia" w:cs="Times New Roman"/>
          <w:szCs w:val="20"/>
          <w:lang w:eastAsia="ko-KR"/>
        </w:rPr>
      </w:pPr>
    </w:p>
    <w:p w14:paraId="1B289539" w14:textId="31B73263" w:rsidR="00DE0B74" w:rsidRPr="00D23483" w:rsidRDefault="00DE0B74" w:rsidP="11C410BE">
      <w:pPr>
        <w:autoSpaceDE w:val="0"/>
        <w:autoSpaceDN w:val="0"/>
        <w:adjustRightInd w:val="0"/>
        <w:spacing w:after="0" w:line="240" w:lineRule="auto"/>
        <w:rPr>
          <w:rFonts w:cs="Times"/>
        </w:rPr>
      </w:pPr>
      <w:r w:rsidRPr="11C410BE">
        <w:rPr>
          <w:rFonts w:eastAsiaTheme="minorEastAsia" w:cs="Times New Roman"/>
          <w:b/>
          <w:bCs/>
          <w:lang w:eastAsia="ko-KR"/>
        </w:rPr>
        <w:t>Proposal 6 :</w:t>
      </w:r>
      <w:r w:rsidRPr="11C410BE">
        <w:rPr>
          <w:rFonts w:eastAsiaTheme="minorEastAsia" w:cs="Times New Roman"/>
          <w:lang w:eastAsia="ko-KR"/>
        </w:rPr>
        <w:t xml:space="preserve"> Add non-serving cell to known conditions for UL spatial relation (</w:t>
      </w:r>
      <w:r w:rsidR="370471CC" w:rsidRPr="11C410BE">
        <w:rPr>
          <w:rFonts w:eastAsiaTheme="minorEastAsia" w:cs="Times New Roman"/>
          <w:lang w:eastAsia="ko-KR"/>
        </w:rPr>
        <w:t xml:space="preserve">in </w:t>
      </w:r>
      <w:r w:rsidRPr="11C410BE">
        <w:rPr>
          <w:rFonts w:eastAsiaTheme="minorEastAsia" w:cs="Times New Roman"/>
          <w:lang w:eastAsia="ko-KR"/>
        </w:rPr>
        <w:t>TS38.133 8.12.2.)</w:t>
      </w:r>
    </w:p>
    <w:p w14:paraId="7EF1695F" w14:textId="41F87D08" w:rsidR="00DE0B74" w:rsidRPr="00D23483" w:rsidRDefault="00DE0B74" w:rsidP="00DE0B74">
      <w:pPr>
        <w:pStyle w:val="ListParagraph"/>
        <w:numPr>
          <w:ilvl w:val="0"/>
          <w:numId w:val="31"/>
        </w:numPr>
        <w:autoSpaceDE w:val="0"/>
        <w:autoSpaceDN w:val="0"/>
        <w:adjustRightInd w:val="0"/>
        <w:spacing w:after="0" w:line="240" w:lineRule="auto"/>
        <w:rPr>
          <w:rFonts w:eastAsiaTheme="minorEastAsia" w:cs="Times New Roman"/>
          <w:i/>
          <w:iCs/>
          <w:szCs w:val="20"/>
          <w:lang w:eastAsia="ko-KR"/>
        </w:rPr>
      </w:pPr>
      <w:r w:rsidRPr="00D23483">
        <w:rPr>
          <w:rFonts w:cs="Times"/>
          <w:i/>
          <w:iCs/>
          <w:szCs w:val="20"/>
        </w:rPr>
        <w:t xml:space="preserve">TCI state </w:t>
      </w:r>
      <w:r w:rsidR="000A2A32">
        <w:rPr>
          <w:rFonts w:cs="Times"/>
          <w:i/>
          <w:iCs/>
          <w:szCs w:val="20"/>
        </w:rPr>
        <w:t>is associated</w:t>
      </w:r>
      <w:r w:rsidR="000A2A32" w:rsidRPr="00D23483">
        <w:rPr>
          <w:rFonts w:cs="Times"/>
          <w:i/>
          <w:iCs/>
          <w:szCs w:val="20"/>
        </w:rPr>
        <w:t xml:space="preserve"> </w:t>
      </w:r>
      <w:r w:rsidR="000A2A32">
        <w:rPr>
          <w:rFonts w:cs="Times"/>
          <w:i/>
          <w:iCs/>
          <w:szCs w:val="20"/>
        </w:rPr>
        <w:t>with</w:t>
      </w:r>
      <w:r w:rsidRPr="00D23483">
        <w:rPr>
          <w:rFonts w:cs="Times"/>
          <w:i/>
          <w:iCs/>
          <w:szCs w:val="20"/>
        </w:rPr>
        <w:t xml:space="preserve"> a serving cell or cell(s) with PCI(s) different from the serving cell configured for L1-RSRP reporting</w:t>
      </w:r>
    </w:p>
    <w:p w14:paraId="16F5A45F" w14:textId="77777777" w:rsidR="00084AFD" w:rsidRPr="00D23483" w:rsidRDefault="00084AFD" w:rsidP="00084AFD"/>
    <w:p w14:paraId="0743AF35" w14:textId="7DFA61AD" w:rsidR="008D3B00" w:rsidRPr="00D33FFC" w:rsidRDefault="008D3B00" w:rsidP="008D3B00">
      <w:pPr>
        <w:pStyle w:val="RAN4H1"/>
      </w:pPr>
      <w:r w:rsidRPr="00D33FFC">
        <w:t>References</w:t>
      </w:r>
    </w:p>
    <w:p w14:paraId="78ADADCA" w14:textId="77777777" w:rsidR="006E02EB" w:rsidRPr="00D33FFC" w:rsidRDefault="006E02EB" w:rsidP="006E02EB">
      <w:pPr>
        <w:numPr>
          <w:ilvl w:val="0"/>
          <w:numId w:val="5"/>
        </w:numPr>
        <w:overflowPunct w:val="0"/>
        <w:autoSpaceDE w:val="0"/>
        <w:autoSpaceDN w:val="0"/>
        <w:adjustRightInd w:val="0"/>
        <w:spacing w:after="120" w:line="240" w:lineRule="auto"/>
        <w:jc w:val="both"/>
        <w:textAlignment w:val="baseline"/>
        <w:rPr>
          <w:rFonts w:eastAsia="Times New Roman" w:cs="Times New Roman"/>
          <w:lang w:val="en-GB"/>
        </w:rPr>
      </w:pPr>
      <w:r w:rsidRPr="00D33FFC">
        <w:rPr>
          <w:rFonts w:eastAsia="Times New Roman" w:cs="Times New Roman"/>
          <w:lang w:val="en-GB"/>
        </w:rPr>
        <w:t>RP-21</w:t>
      </w:r>
      <w:r>
        <w:rPr>
          <w:rFonts w:eastAsia="Times New Roman" w:cs="Times New Roman"/>
          <w:lang w:val="en-GB"/>
        </w:rPr>
        <w:t>2535</w:t>
      </w:r>
      <w:r w:rsidRPr="00D33FFC">
        <w:rPr>
          <w:rFonts w:eastAsia="Times New Roman" w:cs="Times New Roman"/>
          <w:lang w:val="en-GB"/>
        </w:rPr>
        <w:t>,  Revised WID: Further enhancements on MIMO for NR, Samsung, RAN#9</w:t>
      </w:r>
      <w:r>
        <w:rPr>
          <w:rFonts w:eastAsia="Times New Roman" w:cs="Times New Roman"/>
          <w:lang w:val="en-GB"/>
        </w:rPr>
        <w:t>3</w:t>
      </w:r>
      <w:r w:rsidRPr="00D33FFC">
        <w:rPr>
          <w:rFonts w:eastAsia="Times New Roman" w:cs="Times New Roman"/>
          <w:lang w:val="en-GB"/>
        </w:rPr>
        <w:t xml:space="preserve">-e </w:t>
      </w:r>
    </w:p>
    <w:p w14:paraId="39F10483" w14:textId="4C44E2B5" w:rsidR="006E02EB" w:rsidRPr="003B659E" w:rsidRDefault="006E02EB" w:rsidP="006E02EB">
      <w:pPr>
        <w:ind w:right="-22"/>
        <w:rPr>
          <w:lang w:val="en-GB"/>
        </w:rPr>
      </w:pPr>
      <w:r w:rsidRPr="00D33FFC">
        <w:rPr>
          <w:lang w:val="en-GB"/>
        </w:rPr>
        <w:t xml:space="preserve">[2] </w:t>
      </w:r>
      <w:r>
        <w:rPr>
          <w:lang w:val="en-GB"/>
        </w:rPr>
        <w:t xml:space="preserve"> </w:t>
      </w:r>
      <w:r w:rsidR="002D5BF0" w:rsidRPr="00DA3D8C">
        <w:t>R4-2115355</w:t>
      </w:r>
      <w:r w:rsidR="002D5BF0">
        <w:t xml:space="preserve"> </w:t>
      </w:r>
      <w:r w:rsidR="002D5BF0" w:rsidRPr="00DA3D8C">
        <w:t xml:space="preserve">WF for </w:t>
      </w:r>
      <w:proofErr w:type="spellStart"/>
      <w:r w:rsidR="002D5BF0" w:rsidRPr="00DA3D8C">
        <w:t>FeMIMO</w:t>
      </w:r>
      <w:proofErr w:type="spellEnd"/>
      <w:r w:rsidR="002D5BF0" w:rsidRPr="00DA3D8C">
        <w:t xml:space="preserve"> RRM</w:t>
      </w:r>
      <w:r w:rsidR="002D5BF0">
        <w:t>, RAN4#100</w:t>
      </w:r>
    </w:p>
    <w:p w14:paraId="03308D69" w14:textId="77777777" w:rsidR="006E02EB" w:rsidRPr="00D33FFC" w:rsidRDefault="006E02EB" w:rsidP="00D23483">
      <w:pPr>
        <w:overflowPunct w:val="0"/>
        <w:autoSpaceDE w:val="0"/>
        <w:autoSpaceDN w:val="0"/>
        <w:adjustRightInd w:val="0"/>
        <w:spacing w:after="120" w:line="240" w:lineRule="auto"/>
        <w:jc w:val="both"/>
        <w:textAlignment w:val="baseline"/>
        <w:rPr>
          <w:rFonts w:eastAsia="Times New Roman" w:cs="Times New Roman"/>
          <w:lang w:val="en-GB"/>
        </w:rPr>
      </w:pPr>
    </w:p>
    <w:p w14:paraId="22ED2387" w14:textId="1F09C172" w:rsidR="006D0094" w:rsidRDefault="006D0094"/>
    <w:p w14:paraId="544EE5F7" w14:textId="71D90D5E" w:rsidR="00D528AE" w:rsidRDefault="00D528AE"/>
    <w:sectPr w:rsidR="00D528AE" w:rsidSect="00C078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7DE00" w14:textId="77777777" w:rsidR="0047517F" w:rsidRDefault="0047517F" w:rsidP="008F7DD8">
      <w:pPr>
        <w:spacing w:after="0" w:line="240" w:lineRule="auto"/>
      </w:pPr>
      <w:r>
        <w:separator/>
      </w:r>
    </w:p>
  </w:endnote>
  <w:endnote w:type="continuationSeparator" w:id="0">
    <w:p w14:paraId="22AC6BF2" w14:textId="77777777" w:rsidR="0047517F" w:rsidRDefault="0047517F" w:rsidP="008F7DD8">
      <w:pPr>
        <w:spacing w:after="0" w:line="240" w:lineRule="auto"/>
      </w:pPr>
      <w:r>
        <w:continuationSeparator/>
      </w:r>
    </w:p>
  </w:endnote>
  <w:endnote w:type="continuationNotice" w:id="1">
    <w:p w14:paraId="1EF931EF" w14:textId="77777777" w:rsidR="0047517F" w:rsidRDefault="004751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33">
    <w:altName w:val="맑은 고딕"/>
    <w:panose1 w:val="00000000000000000000"/>
    <w:charset w:val="81"/>
    <w:family w:val="swiss"/>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93ADF" w14:textId="77777777" w:rsidR="0047517F" w:rsidRDefault="0047517F" w:rsidP="008F7DD8">
      <w:pPr>
        <w:spacing w:after="0" w:line="240" w:lineRule="auto"/>
      </w:pPr>
      <w:r>
        <w:separator/>
      </w:r>
    </w:p>
  </w:footnote>
  <w:footnote w:type="continuationSeparator" w:id="0">
    <w:p w14:paraId="5BD24CF9" w14:textId="77777777" w:rsidR="0047517F" w:rsidRDefault="0047517F" w:rsidP="008F7DD8">
      <w:pPr>
        <w:spacing w:after="0" w:line="240" w:lineRule="auto"/>
      </w:pPr>
      <w:r>
        <w:continuationSeparator/>
      </w:r>
    </w:p>
  </w:footnote>
  <w:footnote w:type="continuationNotice" w:id="1">
    <w:p w14:paraId="7CEF6178" w14:textId="77777777" w:rsidR="0047517F" w:rsidRDefault="004751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A01AB"/>
    <w:multiLevelType w:val="hybridMultilevel"/>
    <w:tmpl w:val="742ACFC6"/>
    <w:lvl w:ilvl="0" w:tplc="6512DABC">
      <w:start w:val="1"/>
      <w:numFmt w:val="bullet"/>
      <w:lvlText w:val=""/>
      <w:lvlJc w:val="left"/>
      <w:pPr>
        <w:tabs>
          <w:tab w:val="num" w:pos="720"/>
        </w:tabs>
        <w:ind w:left="720" w:hanging="360"/>
      </w:pPr>
      <w:rPr>
        <w:rFonts w:ascii="Symbol" w:hAnsi="Symbol" w:hint="default"/>
      </w:rPr>
    </w:lvl>
    <w:lvl w:ilvl="1" w:tplc="03C02EDA">
      <w:numFmt w:val="bullet"/>
      <w:lvlText w:val="o"/>
      <w:lvlJc w:val="left"/>
      <w:pPr>
        <w:tabs>
          <w:tab w:val="num" w:pos="1440"/>
        </w:tabs>
        <w:ind w:left="1440" w:hanging="360"/>
      </w:pPr>
      <w:rPr>
        <w:rFonts w:ascii="Courier New" w:hAnsi="Courier New" w:hint="default"/>
      </w:rPr>
    </w:lvl>
    <w:lvl w:ilvl="2" w:tplc="AA38BA08" w:tentative="1">
      <w:start w:val="1"/>
      <w:numFmt w:val="bullet"/>
      <w:lvlText w:val=""/>
      <w:lvlJc w:val="left"/>
      <w:pPr>
        <w:tabs>
          <w:tab w:val="num" w:pos="2160"/>
        </w:tabs>
        <w:ind w:left="2160" w:hanging="360"/>
      </w:pPr>
      <w:rPr>
        <w:rFonts w:ascii="Symbol" w:hAnsi="Symbol" w:hint="default"/>
      </w:rPr>
    </w:lvl>
    <w:lvl w:ilvl="3" w:tplc="3D1E1B96" w:tentative="1">
      <w:start w:val="1"/>
      <w:numFmt w:val="bullet"/>
      <w:lvlText w:val=""/>
      <w:lvlJc w:val="left"/>
      <w:pPr>
        <w:tabs>
          <w:tab w:val="num" w:pos="2880"/>
        </w:tabs>
        <w:ind w:left="2880" w:hanging="360"/>
      </w:pPr>
      <w:rPr>
        <w:rFonts w:ascii="Symbol" w:hAnsi="Symbol" w:hint="default"/>
      </w:rPr>
    </w:lvl>
    <w:lvl w:ilvl="4" w:tplc="9AD441D0" w:tentative="1">
      <w:start w:val="1"/>
      <w:numFmt w:val="bullet"/>
      <w:lvlText w:val=""/>
      <w:lvlJc w:val="left"/>
      <w:pPr>
        <w:tabs>
          <w:tab w:val="num" w:pos="3600"/>
        </w:tabs>
        <w:ind w:left="3600" w:hanging="360"/>
      </w:pPr>
      <w:rPr>
        <w:rFonts w:ascii="Symbol" w:hAnsi="Symbol" w:hint="default"/>
      </w:rPr>
    </w:lvl>
    <w:lvl w:ilvl="5" w:tplc="55F4F524" w:tentative="1">
      <w:start w:val="1"/>
      <w:numFmt w:val="bullet"/>
      <w:lvlText w:val=""/>
      <w:lvlJc w:val="left"/>
      <w:pPr>
        <w:tabs>
          <w:tab w:val="num" w:pos="4320"/>
        </w:tabs>
        <w:ind w:left="4320" w:hanging="360"/>
      </w:pPr>
      <w:rPr>
        <w:rFonts w:ascii="Symbol" w:hAnsi="Symbol" w:hint="default"/>
      </w:rPr>
    </w:lvl>
    <w:lvl w:ilvl="6" w:tplc="01E87ECC" w:tentative="1">
      <w:start w:val="1"/>
      <w:numFmt w:val="bullet"/>
      <w:lvlText w:val=""/>
      <w:lvlJc w:val="left"/>
      <w:pPr>
        <w:tabs>
          <w:tab w:val="num" w:pos="5040"/>
        </w:tabs>
        <w:ind w:left="5040" w:hanging="360"/>
      </w:pPr>
      <w:rPr>
        <w:rFonts w:ascii="Symbol" w:hAnsi="Symbol" w:hint="default"/>
      </w:rPr>
    </w:lvl>
    <w:lvl w:ilvl="7" w:tplc="F148D908" w:tentative="1">
      <w:start w:val="1"/>
      <w:numFmt w:val="bullet"/>
      <w:lvlText w:val=""/>
      <w:lvlJc w:val="left"/>
      <w:pPr>
        <w:tabs>
          <w:tab w:val="num" w:pos="5760"/>
        </w:tabs>
        <w:ind w:left="5760" w:hanging="360"/>
      </w:pPr>
      <w:rPr>
        <w:rFonts w:ascii="Symbol" w:hAnsi="Symbol" w:hint="default"/>
      </w:rPr>
    </w:lvl>
    <w:lvl w:ilvl="8" w:tplc="AFA61CB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F79AD"/>
    <w:multiLevelType w:val="multilevel"/>
    <w:tmpl w:val="67D2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942FEF"/>
    <w:multiLevelType w:val="hybridMultilevel"/>
    <w:tmpl w:val="D5DE6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44363"/>
    <w:multiLevelType w:val="hybridMultilevel"/>
    <w:tmpl w:val="C5606FF0"/>
    <w:lvl w:ilvl="0" w:tplc="A246C218">
      <w:start w:val="1"/>
      <w:numFmt w:val="bullet"/>
      <w:lvlText w:val=""/>
      <w:lvlJc w:val="left"/>
      <w:pPr>
        <w:tabs>
          <w:tab w:val="num" w:pos="720"/>
        </w:tabs>
        <w:ind w:left="720" w:hanging="360"/>
      </w:pPr>
      <w:rPr>
        <w:rFonts w:ascii="Symbol" w:hAnsi="Symbol" w:hint="default"/>
      </w:rPr>
    </w:lvl>
    <w:lvl w:ilvl="1" w:tplc="C39E18C8">
      <w:numFmt w:val="bullet"/>
      <w:lvlText w:val="o"/>
      <w:lvlJc w:val="left"/>
      <w:pPr>
        <w:tabs>
          <w:tab w:val="num" w:pos="1440"/>
        </w:tabs>
        <w:ind w:left="1440" w:hanging="360"/>
      </w:pPr>
      <w:rPr>
        <w:rFonts w:ascii="Courier New" w:hAnsi="Courier New" w:hint="default"/>
      </w:rPr>
    </w:lvl>
    <w:lvl w:ilvl="2" w:tplc="FD94B942" w:tentative="1">
      <w:start w:val="1"/>
      <w:numFmt w:val="bullet"/>
      <w:lvlText w:val=""/>
      <w:lvlJc w:val="left"/>
      <w:pPr>
        <w:tabs>
          <w:tab w:val="num" w:pos="2160"/>
        </w:tabs>
        <w:ind w:left="2160" w:hanging="360"/>
      </w:pPr>
      <w:rPr>
        <w:rFonts w:ascii="Symbol" w:hAnsi="Symbol" w:hint="default"/>
      </w:rPr>
    </w:lvl>
    <w:lvl w:ilvl="3" w:tplc="B2340EA4" w:tentative="1">
      <w:start w:val="1"/>
      <w:numFmt w:val="bullet"/>
      <w:lvlText w:val=""/>
      <w:lvlJc w:val="left"/>
      <w:pPr>
        <w:tabs>
          <w:tab w:val="num" w:pos="2880"/>
        </w:tabs>
        <w:ind w:left="2880" w:hanging="360"/>
      </w:pPr>
      <w:rPr>
        <w:rFonts w:ascii="Symbol" w:hAnsi="Symbol" w:hint="default"/>
      </w:rPr>
    </w:lvl>
    <w:lvl w:ilvl="4" w:tplc="01A21F4A" w:tentative="1">
      <w:start w:val="1"/>
      <w:numFmt w:val="bullet"/>
      <w:lvlText w:val=""/>
      <w:lvlJc w:val="left"/>
      <w:pPr>
        <w:tabs>
          <w:tab w:val="num" w:pos="3600"/>
        </w:tabs>
        <w:ind w:left="3600" w:hanging="360"/>
      </w:pPr>
      <w:rPr>
        <w:rFonts w:ascii="Symbol" w:hAnsi="Symbol" w:hint="default"/>
      </w:rPr>
    </w:lvl>
    <w:lvl w:ilvl="5" w:tplc="99C22EDC" w:tentative="1">
      <w:start w:val="1"/>
      <w:numFmt w:val="bullet"/>
      <w:lvlText w:val=""/>
      <w:lvlJc w:val="left"/>
      <w:pPr>
        <w:tabs>
          <w:tab w:val="num" w:pos="4320"/>
        </w:tabs>
        <w:ind w:left="4320" w:hanging="360"/>
      </w:pPr>
      <w:rPr>
        <w:rFonts w:ascii="Symbol" w:hAnsi="Symbol" w:hint="default"/>
      </w:rPr>
    </w:lvl>
    <w:lvl w:ilvl="6" w:tplc="12C2E542" w:tentative="1">
      <w:start w:val="1"/>
      <w:numFmt w:val="bullet"/>
      <w:lvlText w:val=""/>
      <w:lvlJc w:val="left"/>
      <w:pPr>
        <w:tabs>
          <w:tab w:val="num" w:pos="5040"/>
        </w:tabs>
        <w:ind w:left="5040" w:hanging="360"/>
      </w:pPr>
      <w:rPr>
        <w:rFonts w:ascii="Symbol" w:hAnsi="Symbol" w:hint="default"/>
      </w:rPr>
    </w:lvl>
    <w:lvl w:ilvl="7" w:tplc="CAB2AF2E" w:tentative="1">
      <w:start w:val="1"/>
      <w:numFmt w:val="bullet"/>
      <w:lvlText w:val=""/>
      <w:lvlJc w:val="left"/>
      <w:pPr>
        <w:tabs>
          <w:tab w:val="num" w:pos="5760"/>
        </w:tabs>
        <w:ind w:left="5760" w:hanging="360"/>
      </w:pPr>
      <w:rPr>
        <w:rFonts w:ascii="Symbol" w:hAnsi="Symbol" w:hint="default"/>
      </w:rPr>
    </w:lvl>
    <w:lvl w:ilvl="8" w:tplc="0AB8A3C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6D19E4"/>
    <w:multiLevelType w:val="hybridMultilevel"/>
    <w:tmpl w:val="98F6796C"/>
    <w:lvl w:ilvl="0" w:tplc="547222C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0292DC9"/>
    <w:multiLevelType w:val="hybridMultilevel"/>
    <w:tmpl w:val="679088BA"/>
    <w:lvl w:ilvl="0" w:tplc="E772A73C">
      <w:start w:val="1"/>
      <w:numFmt w:val="bullet"/>
      <w:lvlText w:val="•"/>
      <w:lvlJc w:val="left"/>
      <w:pPr>
        <w:tabs>
          <w:tab w:val="num" w:pos="720"/>
        </w:tabs>
        <w:ind w:left="720" w:hanging="360"/>
      </w:pPr>
      <w:rPr>
        <w:rFonts w:ascii="Arial" w:hAnsi="Arial" w:hint="default"/>
      </w:rPr>
    </w:lvl>
    <w:lvl w:ilvl="1" w:tplc="14B845DE">
      <w:numFmt w:val="bullet"/>
      <w:lvlText w:val="•"/>
      <w:lvlJc w:val="left"/>
      <w:pPr>
        <w:tabs>
          <w:tab w:val="num" w:pos="1440"/>
        </w:tabs>
        <w:ind w:left="1440" w:hanging="360"/>
      </w:pPr>
      <w:rPr>
        <w:rFonts w:ascii="Arial" w:hAnsi="Arial" w:hint="default"/>
      </w:rPr>
    </w:lvl>
    <w:lvl w:ilvl="2" w:tplc="AE50D15E">
      <w:numFmt w:val="bullet"/>
      <w:lvlText w:val="•"/>
      <w:lvlJc w:val="left"/>
      <w:pPr>
        <w:tabs>
          <w:tab w:val="num" w:pos="2160"/>
        </w:tabs>
        <w:ind w:left="2160" w:hanging="360"/>
      </w:pPr>
      <w:rPr>
        <w:rFonts w:ascii="Arial" w:hAnsi="Arial" w:hint="default"/>
      </w:rPr>
    </w:lvl>
    <w:lvl w:ilvl="3" w:tplc="BCD83CC8" w:tentative="1">
      <w:start w:val="1"/>
      <w:numFmt w:val="bullet"/>
      <w:lvlText w:val="•"/>
      <w:lvlJc w:val="left"/>
      <w:pPr>
        <w:tabs>
          <w:tab w:val="num" w:pos="2880"/>
        </w:tabs>
        <w:ind w:left="2880" w:hanging="360"/>
      </w:pPr>
      <w:rPr>
        <w:rFonts w:ascii="Arial" w:hAnsi="Arial" w:hint="default"/>
      </w:rPr>
    </w:lvl>
    <w:lvl w:ilvl="4" w:tplc="3DC2AF8E" w:tentative="1">
      <w:start w:val="1"/>
      <w:numFmt w:val="bullet"/>
      <w:lvlText w:val="•"/>
      <w:lvlJc w:val="left"/>
      <w:pPr>
        <w:tabs>
          <w:tab w:val="num" w:pos="3600"/>
        </w:tabs>
        <w:ind w:left="3600" w:hanging="360"/>
      </w:pPr>
      <w:rPr>
        <w:rFonts w:ascii="Arial" w:hAnsi="Arial" w:hint="default"/>
      </w:rPr>
    </w:lvl>
    <w:lvl w:ilvl="5" w:tplc="5092857E" w:tentative="1">
      <w:start w:val="1"/>
      <w:numFmt w:val="bullet"/>
      <w:lvlText w:val="•"/>
      <w:lvlJc w:val="left"/>
      <w:pPr>
        <w:tabs>
          <w:tab w:val="num" w:pos="4320"/>
        </w:tabs>
        <w:ind w:left="4320" w:hanging="360"/>
      </w:pPr>
      <w:rPr>
        <w:rFonts w:ascii="Arial" w:hAnsi="Arial" w:hint="default"/>
      </w:rPr>
    </w:lvl>
    <w:lvl w:ilvl="6" w:tplc="9146ABFC" w:tentative="1">
      <w:start w:val="1"/>
      <w:numFmt w:val="bullet"/>
      <w:lvlText w:val="•"/>
      <w:lvlJc w:val="left"/>
      <w:pPr>
        <w:tabs>
          <w:tab w:val="num" w:pos="5040"/>
        </w:tabs>
        <w:ind w:left="5040" w:hanging="360"/>
      </w:pPr>
      <w:rPr>
        <w:rFonts w:ascii="Arial" w:hAnsi="Arial" w:hint="default"/>
      </w:rPr>
    </w:lvl>
    <w:lvl w:ilvl="7" w:tplc="68B692C6" w:tentative="1">
      <w:start w:val="1"/>
      <w:numFmt w:val="bullet"/>
      <w:lvlText w:val="•"/>
      <w:lvlJc w:val="left"/>
      <w:pPr>
        <w:tabs>
          <w:tab w:val="num" w:pos="5760"/>
        </w:tabs>
        <w:ind w:left="5760" w:hanging="360"/>
      </w:pPr>
      <w:rPr>
        <w:rFonts w:ascii="Arial" w:hAnsi="Arial" w:hint="default"/>
      </w:rPr>
    </w:lvl>
    <w:lvl w:ilvl="8" w:tplc="2CE83B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2" w15:restartNumberingAfterBreak="0">
    <w:nsid w:val="44D73C24"/>
    <w:multiLevelType w:val="hybridMultilevel"/>
    <w:tmpl w:val="BB683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800014"/>
    <w:multiLevelType w:val="hybridMultilevel"/>
    <w:tmpl w:val="78A61526"/>
    <w:lvl w:ilvl="0" w:tplc="C0F4DD3A">
      <w:start w:val="2"/>
      <w:numFmt w:val="bullet"/>
      <w:lvlText w:val="-"/>
      <w:lvlJc w:val="left"/>
      <w:pPr>
        <w:ind w:left="760" w:hanging="360"/>
      </w:pPr>
      <w:rPr>
        <w:rFonts w:ascii="Times New Roman" w:eastAsia="Calibri"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49454C"/>
    <w:multiLevelType w:val="hybridMultilevel"/>
    <w:tmpl w:val="8880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650D0"/>
    <w:multiLevelType w:val="multilevel"/>
    <w:tmpl w:val="0C4C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7435F1"/>
    <w:multiLevelType w:val="hybridMultilevel"/>
    <w:tmpl w:val="1DF83EC8"/>
    <w:lvl w:ilvl="0" w:tplc="EB8AAAEE">
      <w:start w:val="1"/>
      <w:numFmt w:val="bullet"/>
      <w:lvlText w:val=""/>
      <w:lvlJc w:val="left"/>
      <w:pPr>
        <w:tabs>
          <w:tab w:val="num" w:pos="720"/>
        </w:tabs>
        <w:ind w:left="720" w:hanging="360"/>
      </w:pPr>
      <w:rPr>
        <w:rFonts w:ascii="Symbol" w:hAnsi="Symbol" w:hint="default"/>
      </w:rPr>
    </w:lvl>
    <w:lvl w:ilvl="1" w:tplc="13CAA9D6" w:tentative="1">
      <w:start w:val="1"/>
      <w:numFmt w:val="bullet"/>
      <w:lvlText w:val=""/>
      <w:lvlJc w:val="left"/>
      <w:pPr>
        <w:tabs>
          <w:tab w:val="num" w:pos="1440"/>
        </w:tabs>
        <w:ind w:left="1440" w:hanging="360"/>
      </w:pPr>
      <w:rPr>
        <w:rFonts w:ascii="Symbol" w:hAnsi="Symbol" w:hint="default"/>
      </w:rPr>
    </w:lvl>
    <w:lvl w:ilvl="2" w:tplc="2C029A98" w:tentative="1">
      <w:start w:val="1"/>
      <w:numFmt w:val="bullet"/>
      <w:lvlText w:val=""/>
      <w:lvlJc w:val="left"/>
      <w:pPr>
        <w:tabs>
          <w:tab w:val="num" w:pos="2160"/>
        </w:tabs>
        <w:ind w:left="2160" w:hanging="360"/>
      </w:pPr>
      <w:rPr>
        <w:rFonts w:ascii="Symbol" w:hAnsi="Symbol" w:hint="default"/>
      </w:rPr>
    </w:lvl>
    <w:lvl w:ilvl="3" w:tplc="4C54C54C" w:tentative="1">
      <w:start w:val="1"/>
      <w:numFmt w:val="bullet"/>
      <w:lvlText w:val=""/>
      <w:lvlJc w:val="left"/>
      <w:pPr>
        <w:tabs>
          <w:tab w:val="num" w:pos="2880"/>
        </w:tabs>
        <w:ind w:left="2880" w:hanging="360"/>
      </w:pPr>
      <w:rPr>
        <w:rFonts w:ascii="Symbol" w:hAnsi="Symbol" w:hint="default"/>
      </w:rPr>
    </w:lvl>
    <w:lvl w:ilvl="4" w:tplc="A1E67D10" w:tentative="1">
      <w:start w:val="1"/>
      <w:numFmt w:val="bullet"/>
      <w:lvlText w:val=""/>
      <w:lvlJc w:val="left"/>
      <w:pPr>
        <w:tabs>
          <w:tab w:val="num" w:pos="3600"/>
        </w:tabs>
        <w:ind w:left="3600" w:hanging="360"/>
      </w:pPr>
      <w:rPr>
        <w:rFonts w:ascii="Symbol" w:hAnsi="Symbol" w:hint="default"/>
      </w:rPr>
    </w:lvl>
    <w:lvl w:ilvl="5" w:tplc="3C7E2BE8" w:tentative="1">
      <w:start w:val="1"/>
      <w:numFmt w:val="bullet"/>
      <w:lvlText w:val=""/>
      <w:lvlJc w:val="left"/>
      <w:pPr>
        <w:tabs>
          <w:tab w:val="num" w:pos="4320"/>
        </w:tabs>
        <w:ind w:left="4320" w:hanging="360"/>
      </w:pPr>
      <w:rPr>
        <w:rFonts w:ascii="Symbol" w:hAnsi="Symbol" w:hint="default"/>
      </w:rPr>
    </w:lvl>
    <w:lvl w:ilvl="6" w:tplc="D3D08EA6" w:tentative="1">
      <w:start w:val="1"/>
      <w:numFmt w:val="bullet"/>
      <w:lvlText w:val=""/>
      <w:lvlJc w:val="left"/>
      <w:pPr>
        <w:tabs>
          <w:tab w:val="num" w:pos="5040"/>
        </w:tabs>
        <w:ind w:left="5040" w:hanging="360"/>
      </w:pPr>
      <w:rPr>
        <w:rFonts w:ascii="Symbol" w:hAnsi="Symbol" w:hint="default"/>
      </w:rPr>
    </w:lvl>
    <w:lvl w:ilvl="7" w:tplc="0314837A" w:tentative="1">
      <w:start w:val="1"/>
      <w:numFmt w:val="bullet"/>
      <w:lvlText w:val=""/>
      <w:lvlJc w:val="left"/>
      <w:pPr>
        <w:tabs>
          <w:tab w:val="num" w:pos="5760"/>
        </w:tabs>
        <w:ind w:left="5760" w:hanging="360"/>
      </w:pPr>
      <w:rPr>
        <w:rFonts w:ascii="Symbol" w:hAnsi="Symbol" w:hint="default"/>
      </w:rPr>
    </w:lvl>
    <w:lvl w:ilvl="8" w:tplc="70061B3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63133DB"/>
    <w:multiLevelType w:val="hybridMultilevel"/>
    <w:tmpl w:val="3136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45379C"/>
    <w:multiLevelType w:val="hybridMultilevel"/>
    <w:tmpl w:val="41BEAA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13"/>
    <w:lvlOverride w:ilvl="0">
      <w:startOverride w:val="1"/>
    </w:lvlOverride>
  </w:num>
  <w:num w:numId="8">
    <w:abstractNumId w:val="14"/>
    <w:lvlOverride w:ilvl="0">
      <w:startOverride w:val="1"/>
    </w:lvlOverride>
  </w:num>
  <w:num w:numId="9">
    <w:abstractNumId w:val="22"/>
  </w:num>
  <w:num w:numId="10">
    <w:abstractNumId w:val="9"/>
  </w:num>
  <w:num w:numId="11">
    <w:abstractNumId w:val="6"/>
  </w:num>
  <w:num w:numId="12">
    <w:abstractNumId w:val="5"/>
  </w:num>
  <w:num w:numId="13">
    <w:abstractNumId w:val="2"/>
  </w:num>
  <w:num w:numId="14">
    <w:abstractNumId w:val="18"/>
  </w:num>
  <w:num w:numId="15">
    <w:abstractNumId w:val="20"/>
  </w:num>
  <w:num w:numId="16">
    <w:abstractNumId w:val="12"/>
  </w:num>
  <w:num w:numId="17">
    <w:abstractNumId w:val="19"/>
  </w:num>
  <w:num w:numId="18">
    <w:abstractNumId w:val="16"/>
  </w:num>
  <w:num w:numId="19">
    <w:abstractNumId w:val="2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7"/>
  </w:num>
  <w:num w:numId="24">
    <w:abstractNumId w:val="0"/>
  </w:num>
  <w:num w:numId="25">
    <w:abstractNumId w:val="7"/>
  </w:num>
  <w:num w:numId="26">
    <w:abstractNumId w:val="7"/>
  </w:num>
  <w:num w:numId="27">
    <w:abstractNumId w:val="2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8"/>
  </w:num>
  <w:num w:numId="31">
    <w:abstractNumId w:val="3"/>
  </w:num>
  <w:num w:numId="32">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defaultTabStop w:val="720"/>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54B9"/>
    <w:rsid w:val="00011976"/>
    <w:rsid w:val="0002555B"/>
    <w:rsid w:val="000438B7"/>
    <w:rsid w:val="000759B3"/>
    <w:rsid w:val="00084213"/>
    <w:rsid w:val="00084AFD"/>
    <w:rsid w:val="00091DDA"/>
    <w:rsid w:val="00096DBA"/>
    <w:rsid w:val="000A2A32"/>
    <w:rsid w:val="000B1FB8"/>
    <w:rsid w:val="000C45C5"/>
    <w:rsid w:val="000D3470"/>
    <w:rsid w:val="000D350B"/>
    <w:rsid w:val="000D4DEA"/>
    <w:rsid w:val="000E79D5"/>
    <w:rsid w:val="000F2B2F"/>
    <w:rsid w:val="000F6D5F"/>
    <w:rsid w:val="00101044"/>
    <w:rsid w:val="00122311"/>
    <w:rsid w:val="00130022"/>
    <w:rsid w:val="00143444"/>
    <w:rsid w:val="00143BB0"/>
    <w:rsid w:val="0015452C"/>
    <w:rsid w:val="00196C8C"/>
    <w:rsid w:val="001B2EE9"/>
    <w:rsid w:val="001B37FF"/>
    <w:rsid w:val="001B505A"/>
    <w:rsid w:val="001B5FDD"/>
    <w:rsid w:val="001C3010"/>
    <w:rsid w:val="001C6960"/>
    <w:rsid w:val="001F50AC"/>
    <w:rsid w:val="00212176"/>
    <w:rsid w:val="00217C72"/>
    <w:rsid w:val="0023766D"/>
    <w:rsid w:val="002404F1"/>
    <w:rsid w:val="00242852"/>
    <w:rsid w:val="00250ADC"/>
    <w:rsid w:val="00271190"/>
    <w:rsid w:val="0027327E"/>
    <w:rsid w:val="0028194F"/>
    <w:rsid w:val="0028384E"/>
    <w:rsid w:val="00284171"/>
    <w:rsid w:val="00284FD6"/>
    <w:rsid w:val="0029021A"/>
    <w:rsid w:val="00295A79"/>
    <w:rsid w:val="00296099"/>
    <w:rsid w:val="00297353"/>
    <w:rsid w:val="002A7E6D"/>
    <w:rsid w:val="002B0EC3"/>
    <w:rsid w:val="002B5153"/>
    <w:rsid w:val="002C10A2"/>
    <w:rsid w:val="002C4026"/>
    <w:rsid w:val="002C4742"/>
    <w:rsid w:val="002D5BF0"/>
    <w:rsid w:val="002E1391"/>
    <w:rsid w:val="002E2142"/>
    <w:rsid w:val="002E65B6"/>
    <w:rsid w:val="003031FA"/>
    <w:rsid w:val="00307F09"/>
    <w:rsid w:val="003233F9"/>
    <w:rsid w:val="00324A9E"/>
    <w:rsid w:val="0032787E"/>
    <w:rsid w:val="0034302A"/>
    <w:rsid w:val="00351F82"/>
    <w:rsid w:val="003559A6"/>
    <w:rsid w:val="00363903"/>
    <w:rsid w:val="0036417B"/>
    <w:rsid w:val="0036720E"/>
    <w:rsid w:val="003753CA"/>
    <w:rsid w:val="003808E7"/>
    <w:rsid w:val="00383007"/>
    <w:rsid w:val="00386B55"/>
    <w:rsid w:val="00387311"/>
    <w:rsid w:val="00393B72"/>
    <w:rsid w:val="00396783"/>
    <w:rsid w:val="003970A2"/>
    <w:rsid w:val="003A3C8A"/>
    <w:rsid w:val="003A6873"/>
    <w:rsid w:val="003A7B8D"/>
    <w:rsid w:val="003C54D9"/>
    <w:rsid w:val="003D0B9B"/>
    <w:rsid w:val="003E3E47"/>
    <w:rsid w:val="003E6400"/>
    <w:rsid w:val="003F1564"/>
    <w:rsid w:val="004067BC"/>
    <w:rsid w:val="00411180"/>
    <w:rsid w:val="00413442"/>
    <w:rsid w:val="004241AC"/>
    <w:rsid w:val="004504CE"/>
    <w:rsid w:val="004519FD"/>
    <w:rsid w:val="00464014"/>
    <w:rsid w:val="0047517F"/>
    <w:rsid w:val="00475DCB"/>
    <w:rsid w:val="00476510"/>
    <w:rsid w:val="0048422A"/>
    <w:rsid w:val="00486482"/>
    <w:rsid w:val="00493BD4"/>
    <w:rsid w:val="004B5306"/>
    <w:rsid w:val="004B77F2"/>
    <w:rsid w:val="004B7EF2"/>
    <w:rsid w:val="004C479D"/>
    <w:rsid w:val="004E71B1"/>
    <w:rsid w:val="004F327D"/>
    <w:rsid w:val="005001D5"/>
    <w:rsid w:val="00504E24"/>
    <w:rsid w:val="00523602"/>
    <w:rsid w:val="00525C64"/>
    <w:rsid w:val="00525DF5"/>
    <w:rsid w:val="00527217"/>
    <w:rsid w:val="0053005C"/>
    <w:rsid w:val="00537061"/>
    <w:rsid w:val="005508D0"/>
    <w:rsid w:val="00553096"/>
    <w:rsid w:val="005713ED"/>
    <w:rsid w:val="00591085"/>
    <w:rsid w:val="005A17B3"/>
    <w:rsid w:val="005D17B7"/>
    <w:rsid w:val="005D3F6A"/>
    <w:rsid w:val="005D42AB"/>
    <w:rsid w:val="005D5265"/>
    <w:rsid w:val="005E5FB0"/>
    <w:rsid w:val="00606D5F"/>
    <w:rsid w:val="00612499"/>
    <w:rsid w:val="00633A91"/>
    <w:rsid w:val="0064623E"/>
    <w:rsid w:val="006605F2"/>
    <w:rsid w:val="006639E6"/>
    <w:rsid w:val="006744FD"/>
    <w:rsid w:val="00690944"/>
    <w:rsid w:val="00694F6D"/>
    <w:rsid w:val="00696EE2"/>
    <w:rsid w:val="00697DB6"/>
    <w:rsid w:val="006A078B"/>
    <w:rsid w:val="006B12CE"/>
    <w:rsid w:val="006D0094"/>
    <w:rsid w:val="006D0CA5"/>
    <w:rsid w:val="006D4907"/>
    <w:rsid w:val="006E02EB"/>
    <w:rsid w:val="006E10FA"/>
    <w:rsid w:val="0071336D"/>
    <w:rsid w:val="00724639"/>
    <w:rsid w:val="00734752"/>
    <w:rsid w:val="0076337B"/>
    <w:rsid w:val="0076515A"/>
    <w:rsid w:val="007832B1"/>
    <w:rsid w:val="007931C2"/>
    <w:rsid w:val="007B245D"/>
    <w:rsid w:val="007F59C5"/>
    <w:rsid w:val="00802926"/>
    <w:rsid w:val="00812171"/>
    <w:rsid w:val="00821F2A"/>
    <w:rsid w:val="0082523D"/>
    <w:rsid w:val="00842EF2"/>
    <w:rsid w:val="008565DA"/>
    <w:rsid w:val="008813F1"/>
    <w:rsid w:val="008A6FA9"/>
    <w:rsid w:val="008C36EB"/>
    <w:rsid w:val="008C678C"/>
    <w:rsid w:val="008D0AB1"/>
    <w:rsid w:val="008D38CE"/>
    <w:rsid w:val="008D3B00"/>
    <w:rsid w:val="008E479A"/>
    <w:rsid w:val="008E7CBA"/>
    <w:rsid w:val="008F1B4B"/>
    <w:rsid w:val="008F7DD8"/>
    <w:rsid w:val="0090610F"/>
    <w:rsid w:val="00924DB8"/>
    <w:rsid w:val="009419BD"/>
    <w:rsid w:val="0095595D"/>
    <w:rsid w:val="009604C6"/>
    <w:rsid w:val="00961C85"/>
    <w:rsid w:val="009635B5"/>
    <w:rsid w:val="0096710A"/>
    <w:rsid w:val="009744AF"/>
    <w:rsid w:val="00975B72"/>
    <w:rsid w:val="009A44BD"/>
    <w:rsid w:val="009D20F0"/>
    <w:rsid w:val="009E0D7B"/>
    <w:rsid w:val="009F6174"/>
    <w:rsid w:val="00A227D8"/>
    <w:rsid w:val="00A24845"/>
    <w:rsid w:val="00A370A4"/>
    <w:rsid w:val="00A438AC"/>
    <w:rsid w:val="00A52746"/>
    <w:rsid w:val="00A61375"/>
    <w:rsid w:val="00A628EE"/>
    <w:rsid w:val="00A949DD"/>
    <w:rsid w:val="00AA49C8"/>
    <w:rsid w:val="00AA7F7D"/>
    <w:rsid w:val="00AB064B"/>
    <w:rsid w:val="00AC09CD"/>
    <w:rsid w:val="00AC0BBF"/>
    <w:rsid w:val="00AC18DF"/>
    <w:rsid w:val="00AC334F"/>
    <w:rsid w:val="00AD73E0"/>
    <w:rsid w:val="00AE1E19"/>
    <w:rsid w:val="00AE5778"/>
    <w:rsid w:val="00B07909"/>
    <w:rsid w:val="00B1446C"/>
    <w:rsid w:val="00B33BD3"/>
    <w:rsid w:val="00B43435"/>
    <w:rsid w:val="00B51382"/>
    <w:rsid w:val="00B53971"/>
    <w:rsid w:val="00B651AD"/>
    <w:rsid w:val="00B76CC8"/>
    <w:rsid w:val="00BB1040"/>
    <w:rsid w:val="00BB7687"/>
    <w:rsid w:val="00BC3A7B"/>
    <w:rsid w:val="00BC59AE"/>
    <w:rsid w:val="00BD0636"/>
    <w:rsid w:val="00BD4717"/>
    <w:rsid w:val="00BF7CFA"/>
    <w:rsid w:val="00C01778"/>
    <w:rsid w:val="00C056F5"/>
    <w:rsid w:val="00C0786F"/>
    <w:rsid w:val="00C0787E"/>
    <w:rsid w:val="00C2164A"/>
    <w:rsid w:val="00C308F9"/>
    <w:rsid w:val="00C43395"/>
    <w:rsid w:val="00C46B44"/>
    <w:rsid w:val="00C672B5"/>
    <w:rsid w:val="00C73E33"/>
    <w:rsid w:val="00C75225"/>
    <w:rsid w:val="00C7772E"/>
    <w:rsid w:val="00C908D5"/>
    <w:rsid w:val="00C911C3"/>
    <w:rsid w:val="00CA3EDD"/>
    <w:rsid w:val="00CA61D3"/>
    <w:rsid w:val="00CA79DB"/>
    <w:rsid w:val="00CB3389"/>
    <w:rsid w:val="00CD1D0C"/>
    <w:rsid w:val="00CD4BCC"/>
    <w:rsid w:val="00CE575D"/>
    <w:rsid w:val="00CF5711"/>
    <w:rsid w:val="00D1370C"/>
    <w:rsid w:val="00D20F16"/>
    <w:rsid w:val="00D21C42"/>
    <w:rsid w:val="00D23483"/>
    <w:rsid w:val="00D33FFC"/>
    <w:rsid w:val="00D351D8"/>
    <w:rsid w:val="00D42F2F"/>
    <w:rsid w:val="00D50F1F"/>
    <w:rsid w:val="00D528AE"/>
    <w:rsid w:val="00D63EDF"/>
    <w:rsid w:val="00D91149"/>
    <w:rsid w:val="00DA4DD8"/>
    <w:rsid w:val="00DA5358"/>
    <w:rsid w:val="00DC1138"/>
    <w:rsid w:val="00DC4128"/>
    <w:rsid w:val="00DE0B74"/>
    <w:rsid w:val="00E02CB2"/>
    <w:rsid w:val="00E05535"/>
    <w:rsid w:val="00E20949"/>
    <w:rsid w:val="00E413BB"/>
    <w:rsid w:val="00E43BB6"/>
    <w:rsid w:val="00EB64B2"/>
    <w:rsid w:val="00ED461B"/>
    <w:rsid w:val="00EE642A"/>
    <w:rsid w:val="00EF326F"/>
    <w:rsid w:val="00F16844"/>
    <w:rsid w:val="00F30E51"/>
    <w:rsid w:val="00F541AD"/>
    <w:rsid w:val="00F54FCC"/>
    <w:rsid w:val="00F70119"/>
    <w:rsid w:val="00F870B7"/>
    <w:rsid w:val="00F939EC"/>
    <w:rsid w:val="00F9473B"/>
    <w:rsid w:val="00F94A32"/>
    <w:rsid w:val="00FB11BB"/>
    <w:rsid w:val="00FC33F9"/>
    <w:rsid w:val="00FC5B71"/>
    <w:rsid w:val="00FD27F6"/>
    <w:rsid w:val="00FD33F6"/>
    <w:rsid w:val="01F23EC2"/>
    <w:rsid w:val="02F6808A"/>
    <w:rsid w:val="05162EA0"/>
    <w:rsid w:val="05263A87"/>
    <w:rsid w:val="096AC699"/>
    <w:rsid w:val="09F3C2F0"/>
    <w:rsid w:val="0BE09D0F"/>
    <w:rsid w:val="1135B184"/>
    <w:rsid w:val="11C410BE"/>
    <w:rsid w:val="19F2F377"/>
    <w:rsid w:val="1B7A2912"/>
    <w:rsid w:val="1F6EC751"/>
    <w:rsid w:val="207921F0"/>
    <w:rsid w:val="2213C9AF"/>
    <w:rsid w:val="22A17884"/>
    <w:rsid w:val="29B3067E"/>
    <w:rsid w:val="2B2A0AFB"/>
    <w:rsid w:val="370471CC"/>
    <w:rsid w:val="37DC7F5C"/>
    <w:rsid w:val="4BB2C8F8"/>
    <w:rsid w:val="4D30CEA8"/>
    <w:rsid w:val="4D909F6F"/>
    <w:rsid w:val="4EE5D05F"/>
    <w:rsid w:val="554C66C3"/>
    <w:rsid w:val="5840AD64"/>
    <w:rsid w:val="59BAA4E2"/>
    <w:rsid w:val="5B8C2999"/>
    <w:rsid w:val="5DA24098"/>
    <w:rsid w:val="5F340BBE"/>
    <w:rsid w:val="644550A6"/>
    <w:rsid w:val="7371460F"/>
    <w:rsid w:val="7B9D1101"/>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8EAE906"/>
  <w15:chartTrackingRefBased/>
  <w15:docId w15:val="{F5560525-CDF7-4B4C-8299-BCBDEABC8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DD8"/>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8F7D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7D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customStyle="1" w:styleId="RAN4H2">
    <w:name w:val="RAN4 H2"/>
    <w:basedOn w:val="Heading2"/>
    <w:next w:val="Normal"/>
    <w:link w:val="RAN4H2Char"/>
    <w:qFormat/>
    <w:rsid w:val="008F7DD8"/>
    <w:pPr>
      <w:numPr>
        <w:ilvl w:val="1"/>
        <w:numId w:val="2"/>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8F7DD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8F7DD8"/>
    <w:rPr>
      <w:rFonts w:ascii="Arial" w:eastAsia="Times New Roman" w:hAnsi="Arial" w:cs="Times New Roman"/>
      <w:color w:val="2F5496" w:themeColor="accent1" w:themeShade="BF"/>
      <w:sz w:val="32"/>
      <w:szCs w:val="20"/>
      <w:lang w:eastAsia="en-US"/>
    </w:rPr>
  </w:style>
  <w:style w:type="character" w:customStyle="1" w:styleId="RAN4H1Char">
    <w:name w:val="RAN4 H1 Char"/>
    <w:basedOn w:val="DefaultParagraphFont"/>
    <w:link w:val="RAN4H1"/>
    <w:rsid w:val="008F7DD8"/>
    <w:rPr>
      <w:rFonts w:ascii="Arial" w:eastAsia="SimSun" w:hAnsi="Arial" w:cs="Times New Roman"/>
      <w:sz w:val="36"/>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eastAsiaTheme="minorHAnsi" w:hAnsi="Times New Roman"/>
      <w:sz w:val="20"/>
      <w:lang w:eastAsia="en-US"/>
    </w:rPr>
  </w:style>
  <w:style w:type="paragraph" w:customStyle="1" w:styleId="RAN4proposal">
    <w:name w:val="RAN4 proposal"/>
    <w:basedOn w:val="Caption"/>
    <w:next w:val="Normal"/>
    <w:link w:val="RAN4proposalChar"/>
    <w:qFormat/>
    <w:rsid w:val="008F7DD8"/>
    <w:pPr>
      <w:numPr>
        <w:numId w:val="1"/>
      </w:numPr>
      <w:ind w:left="0" w:firstLine="0"/>
    </w:pPr>
    <w:rPr>
      <w:b/>
      <w:i w:val="0"/>
      <w:color w:val="auto"/>
      <w:sz w:val="20"/>
    </w:rPr>
  </w:style>
  <w:style w:type="character" w:customStyle="1" w:styleId="RAN4proposalChar">
    <w:name w:val="RAN4 proposal Char"/>
    <w:basedOn w:val="DefaultParagraphFont"/>
    <w:link w:val="RAN4proposal"/>
    <w:rsid w:val="008F7DD8"/>
    <w:rPr>
      <w:rFonts w:ascii="Times New Roman" w:eastAsiaTheme="minorHAnsi" w:hAnsi="Times New Roman"/>
      <w:b/>
      <w:iCs/>
      <w:sz w:val="20"/>
      <w:szCs w:val="18"/>
      <w:lang w:eastAsia="en-US"/>
    </w:rPr>
  </w:style>
  <w:style w:type="paragraph" w:customStyle="1" w:styleId="RAN4H3">
    <w:name w:val="RAN4 H3"/>
    <w:basedOn w:val="Normal"/>
    <w:qFormat/>
    <w:rsid w:val="008F7DD8"/>
    <w:pPr>
      <w:numPr>
        <w:ilvl w:val="2"/>
        <w:numId w:val="2"/>
      </w:numPr>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uiPriority w:val="99"/>
    <w:semiHidden/>
    <w:rsid w:val="008F7DD8"/>
    <w:rPr>
      <w:rFonts w:ascii="Times New Roman" w:eastAsia="SimSun" w:hAnsi="Times New Roma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eastAsiaTheme="minorHAnsi" w:hAnsi="Times New Roman"/>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eastAsia="MS Mincho" w:hAnsi="Times New Roman"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customStyle="1" w:styleId="BodyTextChar1">
    <w:name w:val="Body Text Char1"/>
    <w:basedOn w:val="DefaultParagraphFont"/>
    <w:uiPriority w:val="99"/>
    <w:semiHidden/>
    <w:rsid w:val="008F7DD8"/>
    <w:rPr>
      <w:rFonts w:ascii="Times New Roman" w:eastAsiaTheme="minorHAnsi" w:hAnsi="Times New Roman"/>
      <w:sz w:val="20"/>
      <w:lang w:eastAsia="en-US"/>
    </w:rPr>
  </w:style>
  <w:style w:type="character" w:customStyle="1" w:styleId="Normal9pointspacingChar">
    <w:name w:val="Normal 9 point spacing Char"/>
    <w:link w:val="Normal9pointspacing"/>
    <w:locked/>
    <w:rsid w:val="008F7DD8"/>
    <w:rPr>
      <w:rFonts w:ascii="Times New Roman" w:eastAsia="MS Mincho" w:hAnsi="Times New Roman" w:cs="Times New Roman"/>
      <w:szCs w:val="24"/>
      <w:lang w:val="x-none"/>
    </w:rPr>
  </w:style>
  <w:style w:type="paragraph" w:customStyle="1" w:styleId="Normal9pointspacing">
    <w:name w:val="Normal 9 point spacing"/>
    <w:basedOn w:val="BodyText"/>
    <w:link w:val="Normal9pointspacingChar"/>
    <w:qFormat/>
    <w:rsid w:val="008F7DD8"/>
    <w:pPr>
      <w:spacing w:before="240" w:after="60"/>
    </w:pPr>
    <w:rPr>
      <w:sz w:val="22"/>
      <w:lang w:val="x-none" w:eastAsia="ko-KR"/>
    </w:rPr>
  </w:style>
  <w:style w:type="paragraph" w:customStyle="1" w:styleId="xmsonormal">
    <w:name w:val="x_msonormal"/>
    <w:basedOn w:val="Normal"/>
    <w:uiPriority w:val="99"/>
    <w:rsid w:val="008F7DD8"/>
    <w:pPr>
      <w:spacing w:after="0" w:line="240" w:lineRule="auto"/>
    </w:pPr>
    <w:rPr>
      <w:rFonts w:ascii="Calibri" w:eastAsia="Calibri" w:hAnsi="Calibri" w:cs="Calibri"/>
      <w:sz w:val="22"/>
    </w:rPr>
  </w:style>
  <w:style w:type="character" w:customStyle="1" w:styleId="11Char">
    <w:name w:val="1.1 Char"/>
    <w:link w:val="11"/>
    <w:uiPriority w:val="99"/>
    <w:locked/>
    <w:rsid w:val="008F7DD8"/>
    <w:rPr>
      <w:rFonts w:ascii="Helvetica" w:eastAsia="MS Mincho" w:hAnsi="Helvetica"/>
      <w:b/>
      <w:bCs/>
      <w:iCs/>
      <w:lang w:val="x-none" w:eastAsia="x-none"/>
    </w:rPr>
  </w:style>
  <w:style w:type="paragraph" w:customStyle="1" w:styleId="11">
    <w:name w:val="1.1"/>
    <w:basedOn w:val="Heading2"/>
    <w:link w:val="11Char"/>
    <w:uiPriority w:val="99"/>
    <w:qFormat/>
    <w:rsid w:val="008F7DD8"/>
    <w:pPr>
      <w:keepLines w:val="0"/>
      <w:numPr>
        <w:ilvl w:val="1"/>
        <w:numId w:val="4"/>
      </w:numPr>
      <w:spacing w:before="240" w:after="60" w:line="240" w:lineRule="auto"/>
      <w:contextualSpacing/>
    </w:pPr>
    <w:rPr>
      <w:rFonts w:ascii="Helvetica" w:eastAsia="MS Mincho" w:hAnsi="Helvetica" w:cstheme="minorBidi"/>
      <w:b/>
      <w:bCs/>
      <w:iCs/>
      <w:color w:val="auto"/>
      <w:sz w:val="22"/>
      <w:szCs w:val="22"/>
      <w:lang w:val="x-none" w:eastAsia="x-none"/>
    </w:rPr>
  </w:style>
  <w:style w:type="paragraph" w:customStyle="1" w:styleId="1">
    <w:name w:val="1"/>
    <w:basedOn w:val="Heading1"/>
    <w:uiPriority w:val="99"/>
    <w:qFormat/>
    <w:rsid w:val="008F7DD8"/>
    <w:pPr>
      <w:keepLines w:val="0"/>
      <w:numPr>
        <w:numId w:val="4"/>
      </w:numPr>
      <w:tabs>
        <w:tab w:val="num" w:pos="360"/>
      </w:tabs>
      <w:spacing w:before="360" w:after="180" w:line="240" w:lineRule="auto"/>
      <w:ind w:left="0" w:firstLine="0"/>
    </w:pPr>
    <w:rPr>
      <w:rFonts w:ascii="Helvetica" w:eastAsia="MS Mincho" w:hAnsi="Helvetica" w:cs="Times New Roman"/>
      <w:b/>
      <w:bCs/>
      <w:color w:val="auto"/>
      <w:kern w:val="32"/>
      <w:sz w:val="28"/>
      <w:lang w:val="x-none" w:eastAsia="x-none"/>
    </w:rPr>
  </w:style>
  <w:style w:type="paragraph" w:customStyle="1" w:styleId="Style1">
    <w:name w:val="Style1"/>
    <w:basedOn w:val="11"/>
    <w:uiPriority w:val="99"/>
    <w:qFormat/>
    <w:rsid w:val="008F7DD8"/>
    <w:pPr>
      <w:numPr>
        <w:ilvl w:val="2"/>
      </w:numPr>
      <w:tabs>
        <w:tab w:val="num" w:pos="360"/>
      </w:tabs>
      <w:spacing w:before="120"/>
    </w:pPr>
    <w:rPr>
      <w:rFonts w:ascii="Times New Roman" w:eastAsiaTheme="minorEastAsia" w:hAnsi="Times New Roman"/>
      <w:b w:val="0"/>
    </w:rPr>
  </w:style>
  <w:style w:type="character" w:customStyle="1" w:styleId="Heading2Char">
    <w:name w:val="Heading 2 Char"/>
    <w:basedOn w:val="DefaultParagraphFont"/>
    <w:link w:val="Heading2"/>
    <w:uiPriority w:val="9"/>
    <w:semiHidden/>
    <w:rsid w:val="008F7DD8"/>
    <w:rPr>
      <w:rFonts w:asciiTheme="majorHAnsi" w:eastAsiaTheme="majorEastAsia" w:hAnsiTheme="majorHAnsi"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8F7DD8"/>
    <w:rPr>
      <w:rFonts w:asciiTheme="majorHAnsi" w:eastAsiaTheme="majorEastAsia" w:hAnsiTheme="majorHAnsi"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122311"/>
    <w:rPr>
      <w:rFonts w:ascii="Times New Roman" w:eastAsiaTheme="minorHAnsi" w:hAnsi="Times New Roman" w:cs="Times New Roman"/>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customStyle="1" w:styleId="RAN4Observation">
    <w:name w:val="RAN4 Observation"/>
    <w:basedOn w:val="ListParagraph"/>
    <w:next w:val="Normal"/>
    <w:link w:val="RAN4ObservationChar"/>
    <w:rsid w:val="008D3B00"/>
    <w:pPr>
      <w:numPr>
        <w:numId w:val="6"/>
      </w:numPr>
    </w:pPr>
    <w:rPr>
      <w:rFonts w:eastAsia="Calibri" w:cs="Times New Roman"/>
      <w:szCs w:val="20"/>
      <w:lang w:val="en-GB"/>
    </w:rPr>
  </w:style>
  <w:style w:type="character" w:customStyle="1" w:styleId="RAN4ObservationChar">
    <w:name w:val="RAN4 Observation Char"/>
    <w:basedOn w:val="ListParagraphChar"/>
    <w:link w:val="RAN4Observation"/>
    <w:rsid w:val="008D3B00"/>
    <w:rPr>
      <w:rFonts w:ascii="Times New Roman" w:eastAsia="Calibri" w:hAnsi="Times New Roman" w:cs="Times New Roman"/>
      <w:sz w:val="20"/>
      <w:szCs w:val="20"/>
      <w:lang w:val="en-GB" w:eastAsia="en-US"/>
    </w:rPr>
  </w:style>
  <w:style w:type="table" w:styleId="TableGrid">
    <w:name w:val="Table Grid"/>
    <w:basedOn w:val="TableNormal"/>
    <w:uiPriority w:val="39"/>
    <w:rsid w:val="000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customStyle="1" w:styleId="normaltextrun">
    <w:name w:val="normaltextrun"/>
    <w:basedOn w:val="DefaultParagraphFont"/>
    <w:rsid w:val="006639E6"/>
  </w:style>
  <w:style w:type="character" w:customStyle="1" w:styleId="eop">
    <w:name w:val="eop"/>
    <w:basedOn w:val="DefaultParagraphFont"/>
    <w:rsid w:val="006639E6"/>
  </w:style>
  <w:style w:type="paragraph" w:customStyle="1" w:styleId="TAH">
    <w:name w:val="TAH"/>
    <w:basedOn w:val="TAC"/>
    <w:link w:val="TAHCar"/>
    <w:uiPriority w:val="99"/>
    <w:qFormat/>
    <w:rsid w:val="00B651AD"/>
    <w:rPr>
      <w:b/>
    </w:rPr>
  </w:style>
  <w:style w:type="paragraph" w:customStyle="1" w:styleId="TAC">
    <w:name w:val="TAC"/>
    <w:basedOn w:val="Normal"/>
    <w:link w:val="TACChar"/>
    <w:qFormat/>
    <w:rsid w:val="00B651AD"/>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B651AD"/>
    <w:rPr>
      <w:rFonts w:ascii="Arial" w:eastAsia="SimSun" w:hAnsi="Arial" w:cs="Times New Roman"/>
      <w:sz w:val="18"/>
      <w:szCs w:val="20"/>
      <w:lang w:val="en-GB" w:eastAsia="en-US"/>
    </w:rPr>
  </w:style>
  <w:style w:type="character" w:customStyle="1" w:styleId="TAHCar">
    <w:name w:val="TAH Car"/>
    <w:link w:val="TAH"/>
    <w:uiPriority w:val="99"/>
    <w:qFormat/>
    <w:rsid w:val="00B651AD"/>
    <w:rPr>
      <w:rFonts w:ascii="Arial" w:eastAsia="SimSun" w:hAnsi="Arial" w:cs="Times New Roman"/>
      <w:b/>
      <w:sz w:val="18"/>
      <w:szCs w:val="20"/>
      <w:lang w:val="en-GB" w:eastAsia="en-US"/>
    </w:rPr>
  </w:style>
  <w:style w:type="paragraph" w:customStyle="1" w:styleId="TH">
    <w:name w:val="TH"/>
    <w:basedOn w:val="Normal"/>
    <w:link w:val="THChar"/>
    <w:qFormat/>
    <w:rsid w:val="00B651AD"/>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B651AD"/>
    <w:rPr>
      <w:rFonts w:ascii="Arial" w:eastAsia="SimSun" w:hAnsi="Arial" w:cs="Times New Roman"/>
      <w:b/>
      <w:sz w:val="20"/>
      <w:szCs w:val="20"/>
      <w:lang w:val="en-GB" w:eastAsia="en-US"/>
    </w:rPr>
  </w:style>
  <w:style w:type="paragraph" w:customStyle="1" w:styleId="B1">
    <w:name w:val="B1"/>
    <w:basedOn w:val="Normal"/>
    <w:link w:val="B1Char"/>
    <w:qFormat/>
    <w:rsid w:val="000054B9"/>
    <w:pPr>
      <w:spacing w:after="180" w:line="240" w:lineRule="auto"/>
      <w:ind w:left="568" w:hanging="284"/>
    </w:pPr>
    <w:rPr>
      <w:rFonts w:eastAsia="SimSun" w:cs="Times New Roman"/>
      <w:szCs w:val="20"/>
      <w:lang w:val="en-GB"/>
    </w:rPr>
  </w:style>
  <w:style w:type="character" w:customStyle="1" w:styleId="B1Char">
    <w:name w:val="B1 Char"/>
    <w:link w:val="B1"/>
    <w:qFormat/>
    <w:rsid w:val="000054B9"/>
    <w:rPr>
      <w:rFonts w:ascii="Times New Roman" w:eastAsia="SimSun" w:hAnsi="Times New Roma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505A"/>
    <w:rPr>
      <w:rFonts w:ascii="Times New Roman" w:eastAsiaTheme="minorHAnsi" w:hAnsi="Times New Roman"/>
      <w:sz w:val="20"/>
      <w:lang w:eastAsia="en-US"/>
    </w:rPr>
  </w:style>
  <w:style w:type="paragraph" w:styleId="Date">
    <w:name w:val="Date"/>
    <w:basedOn w:val="Normal"/>
    <w:next w:val="Normal"/>
    <w:link w:val="DateChar"/>
    <w:uiPriority w:val="99"/>
    <w:semiHidden/>
    <w:unhideWhenUsed/>
    <w:rsid w:val="005D42AB"/>
  </w:style>
  <w:style w:type="character" w:customStyle="1" w:styleId="DateChar">
    <w:name w:val="Date Char"/>
    <w:basedOn w:val="DefaultParagraphFont"/>
    <w:link w:val="Date"/>
    <w:uiPriority w:val="99"/>
    <w:semiHidden/>
    <w:rsid w:val="005D42AB"/>
    <w:rPr>
      <w:rFonts w:ascii="Times New Roman" w:eastAsiaTheme="minorHAnsi" w:hAnsi="Times New Roman"/>
      <w:sz w:val="20"/>
      <w:lang w:eastAsia="en-US"/>
    </w:rPr>
  </w:style>
  <w:style w:type="character" w:customStyle="1" w:styleId="apple-converted-space">
    <w:name w:val="apple-converted-space"/>
    <w:rsid w:val="00AE5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249855726">
          <w:marLeft w:val="108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938678738">
          <w:marLeft w:val="547"/>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0"/>
          <w:marBottom w:val="0"/>
          <w:divBdr>
            <w:top w:val="none" w:sz="0" w:space="0" w:color="auto"/>
            <w:left w:val="none" w:sz="0" w:space="0" w:color="auto"/>
            <w:bottom w:val="none" w:sz="0" w:space="0" w:color="auto"/>
            <w:right w:val="none" w:sz="0" w:space="0" w:color="auto"/>
          </w:divBdr>
        </w:div>
        <w:div w:id="446896884">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262254234">
          <w:marLeft w:val="0"/>
          <w:marRight w:val="0"/>
          <w:marTop w:val="0"/>
          <w:marBottom w:val="0"/>
          <w:divBdr>
            <w:top w:val="none" w:sz="0" w:space="0" w:color="auto"/>
            <w:left w:val="none" w:sz="0" w:space="0" w:color="auto"/>
            <w:bottom w:val="none" w:sz="0" w:space="0" w:color="auto"/>
            <w:right w:val="none" w:sz="0" w:space="0" w:color="auto"/>
          </w:divBdr>
        </w:div>
        <w:div w:id="1993831214">
          <w:marLeft w:val="0"/>
          <w:marRight w:val="0"/>
          <w:marTop w:val="0"/>
          <w:marBottom w:val="0"/>
          <w:divBdr>
            <w:top w:val="none" w:sz="0" w:space="0" w:color="auto"/>
            <w:left w:val="none" w:sz="0" w:space="0" w:color="auto"/>
            <w:bottom w:val="none" w:sz="0" w:space="0" w:color="auto"/>
            <w:right w:val="none" w:sz="0" w:space="0" w:color="auto"/>
          </w:divBdr>
        </w:div>
      </w:divsChild>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277567348">
          <w:marLeft w:val="1080"/>
          <w:marRight w:val="0"/>
          <w:marTop w:val="100"/>
          <w:marBottom w:val="0"/>
          <w:divBdr>
            <w:top w:val="none" w:sz="0" w:space="0" w:color="auto"/>
            <w:left w:val="none" w:sz="0" w:space="0" w:color="auto"/>
            <w:bottom w:val="none" w:sz="0" w:space="0" w:color="auto"/>
            <w:right w:val="none" w:sz="0" w:space="0" w:color="auto"/>
          </w:divBdr>
        </w:div>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274602236">
          <w:marLeft w:val="547"/>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631785963">
          <w:marLeft w:val="547"/>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506403901">
          <w:marLeft w:val="547"/>
          <w:marRight w:val="0"/>
          <w:marTop w:val="0"/>
          <w:marBottom w:val="0"/>
          <w:divBdr>
            <w:top w:val="none" w:sz="0" w:space="0" w:color="auto"/>
            <w:left w:val="none" w:sz="0" w:space="0" w:color="auto"/>
            <w:bottom w:val="none" w:sz="0" w:space="0" w:color="auto"/>
            <w:right w:val="none" w:sz="0" w:space="0" w:color="auto"/>
          </w:divBdr>
        </w:div>
        <w:div w:id="1392188546">
          <w:marLeft w:val="547"/>
          <w:marRight w:val="0"/>
          <w:marTop w:val="0"/>
          <w:marBottom w:val="0"/>
          <w:divBdr>
            <w:top w:val="none" w:sz="0" w:space="0" w:color="auto"/>
            <w:left w:val="none" w:sz="0" w:space="0" w:color="auto"/>
            <w:bottom w:val="none" w:sz="0" w:space="0" w:color="auto"/>
            <w:right w:val="none" w:sz="0" w:space="0" w:color="auto"/>
          </w:divBdr>
        </w:div>
      </w:divsChild>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106850581">
          <w:marLeft w:val="1166"/>
          <w:marRight w:val="0"/>
          <w:marTop w:val="0"/>
          <w:marBottom w:val="0"/>
          <w:divBdr>
            <w:top w:val="none" w:sz="0" w:space="0" w:color="auto"/>
            <w:left w:val="none" w:sz="0" w:space="0" w:color="auto"/>
            <w:bottom w:val="none" w:sz="0" w:space="0" w:color="auto"/>
            <w:right w:val="none" w:sz="0" w:space="0" w:color="auto"/>
          </w:divBdr>
        </w:div>
        <w:div w:id="318928041">
          <w:marLeft w:val="547"/>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sChild>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5AIRPNAIUNRU-1328258698-7553</_dlc_DocId>
    <_dlc_DocIdUrl xmlns="71c5aaf6-e6ce-465b-b873-5148d2a4c105">
      <Url>https://nokia.sharepoint.com/sites/c5g/5gradio/_layouts/15/DocIdRedir.aspx?ID=5AIRPNAIUNRU-1328258698-7553</Url>
      <Description>5AIRPNAIUNRU-1328258698-7553</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4829F2-9661-4C4E-837B-D3224572E027}">
  <ds:schemaRefs>
    <ds:schemaRef ds:uri="http://purl.org/dc/terms/"/>
    <ds:schemaRef ds:uri="http://schemas.microsoft.com/office/infopath/2007/PartnerControls"/>
    <ds:schemaRef ds:uri="http://www.w3.org/XML/1998/namespace"/>
    <ds:schemaRef ds:uri="http://schemas.microsoft.com/office/2006/documentManagement/types"/>
    <ds:schemaRef ds:uri="3b34c8f0-1ef5-4d1e-bb66-517ce7fe7356"/>
    <ds:schemaRef ds:uri="http://schemas.microsoft.com/office/2006/metadata/properties"/>
    <ds:schemaRef ds:uri="http://purl.org/dc/elements/1.1/"/>
    <ds:schemaRef ds:uri="http://schemas.openxmlformats.org/package/2006/metadata/core-properties"/>
    <ds:schemaRef ds:uri="0b6aed8e-0313-4d17-80ff-d0e5da4931c5"/>
    <ds:schemaRef ds:uri="71c5aaf6-e6ce-465b-b873-5148d2a4c105"/>
    <ds:schemaRef ds:uri="http://purl.org/dc/dcmitype/"/>
  </ds:schemaRefs>
</ds:datastoreItem>
</file>

<file path=customXml/itemProps2.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customXml/itemProps3.xml><?xml version="1.0" encoding="utf-8"?>
<ds:datastoreItem xmlns:ds="http://schemas.openxmlformats.org/officeDocument/2006/customXml" ds:itemID="{0712309D-83C6-4849-B669-37A8BE341633}">
  <ds:schemaRefs>
    <ds:schemaRef ds:uri="http://schemas.microsoft.com/sharepoint/events"/>
  </ds:schemaRefs>
</ds:datastoreItem>
</file>

<file path=customXml/itemProps4.xml><?xml version="1.0" encoding="utf-8"?>
<ds:datastoreItem xmlns:ds="http://schemas.openxmlformats.org/officeDocument/2006/customXml" ds:itemID="{B9ECC124-B392-4C95-9F85-B4D23FD1B4F5}">
  <ds:schemaRefs>
    <ds:schemaRef ds:uri="Microsoft.SharePoint.Taxonomy.ContentTypeSync"/>
  </ds:schemaRefs>
</ds:datastoreItem>
</file>

<file path=customXml/itemProps5.xml><?xml version="1.0" encoding="utf-8"?>
<ds:datastoreItem xmlns:ds="http://schemas.openxmlformats.org/officeDocument/2006/customXml" ds:itemID="{85AFAA01-F4F5-4602-B817-3A084B5EB251}">
  <ds:schemaRefs>
    <ds:schemaRef ds:uri="http://schemas.microsoft.com/sharepoint/v3/contenttype/forms"/>
  </ds:schemaRefs>
</ds:datastoreItem>
</file>

<file path=customXml/itemProps6.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2032</Words>
  <Characters>11589</Characters>
  <Application>Microsoft Office Word</Application>
  <DocSecurity>0</DocSecurity>
  <Lines>96</Lines>
  <Paragraphs>27</Paragraphs>
  <ScaleCrop>false</ScaleCrop>
  <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 (Nokia - FR/Paris-Saclay)</dc:creator>
  <cp:keywords/>
  <dc:description/>
  <cp:lastModifiedBy>Yoon, Daejung (Nokia - FR/Paris-Saclay)</cp:lastModifiedBy>
  <cp:revision>77</cp:revision>
  <dcterms:created xsi:type="dcterms:W3CDTF">2021-08-04T14:31:00Z</dcterms:created>
  <dcterms:modified xsi:type="dcterms:W3CDTF">2021-10-22T15:19:00Z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803ff499-9aa6-43aa-b2aa-c33fd2b6c8b2</vt:lpwstr>
  </property>
</Properties>
</file>